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5D9E4E" w14:textId="77777777" w:rsidR="00BA3640" w:rsidRPr="00A31829" w:rsidRDefault="00BA3640">
      <w:pPr>
        <w:spacing w:line="200" w:lineRule="exact"/>
        <w:rPr>
          <w:sz w:val="24"/>
          <w:szCs w:val="24"/>
        </w:rPr>
      </w:pPr>
    </w:p>
    <w:p w14:paraId="428EE409" w14:textId="77777777" w:rsidR="00BA3640" w:rsidRPr="00A31829" w:rsidRDefault="00BA3640">
      <w:pPr>
        <w:spacing w:line="200" w:lineRule="exact"/>
        <w:rPr>
          <w:sz w:val="24"/>
          <w:szCs w:val="24"/>
        </w:rPr>
      </w:pPr>
    </w:p>
    <w:p w14:paraId="7ECF14F7" w14:textId="77777777" w:rsidR="00BA3640" w:rsidRPr="00A31829" w:rsidRDefault="00BA3640">
      <w:pPr>
        <w:spacing w:line="200" w:lineRule="exact"/>
        <w:rPr>
          <w:sz w:val="24"/>
          <w:szCs w:val="24"/>
        </w:rPr>
      </w:pPr>
    </w:p>
    <w:p w14:paraId="696456EB" w14:textId="77777777" w:rsidR="00BA3640" w:rsidRPr="00A31829" w:rsidRDefault="00BA3640">
      <w:pPr>
        <w:spacing w:line="200" w:lineRule="exact"/>
        <w:rPr>
          <w:sz w:val="24"/>
          <w:szCs w:val="24"/>
        </w:rPr>
      </w:pPr>
    </w:p>
    <w:p w14:paraId="496753B5" w14:textId="77777777" w:rsidR="00BA3640" w:rsidRPr="00A31829" w:rsidRDefault="00BA3640">
      <w:pPr>
        <w:spacing w:line="200" w:lineRule="exact"/>
        <w:rPr>
          <w:sz w:val="24"/>
          <w:szCs w:val="24"/>
        </w:rPr>
      </w:pPr>
    </w:p>
    <w:p w14:paraId="1C031488" w14:textId="77777777" w:rsidR="00BA3640" w:rsidRPr="00A31829" w:rsidRDefault="00BA3640">
      <w:pPr>
        <w:spacing w:line="200" w:lineRule="exact"/>
        <w:rPr>
          <w:sz w:val="24"/>
          <w:szCs w:val="24"/>
        </w:rPr>
      </w:pPr>
    </w:p>
    <w:p w14:paraId="3D376DB6" w14:textId="77777777" w:rsidR="00BA3640" w:rsidRPr="00A31829" w:rsidRDefault="00BA3640">
      <w:pPr>
        <w:spacing w:line="217" w:lineRule="exact"/>
        <w:rPr>
          <w:sz w:val="24"/>
          <w:szCs w:val="24"/>
        </w:rPr>
      </w:pPr>
    </w:p>
    <w:p w14:paraId="1278C3D3" w14:textId="77777777" w:rsidR="00BA3640" w:rsidRPr="00A31829" w:rsidRDefault="00AD5C60">
      <w:pPr>
        <w:ind w:left="1380"/>
        <w:rPr>
          <w:sz w:val="20"/>
          <w:szCs w:val="20"/>
        </w:rPr>
      </w:pPr>
      <w:r w:rsidRPr="00A31829">
        <w:rPr>
          <w:rFonts w:eastAsia="Arial"/>
          <w:b/>
          <w:bCs/>
          <w:i/>
          <w:iCs/>
          <w:color w:val="4F81BD"/>
          <w:sz w:val="38"/>
          <w:szCs w:val="38"/>
        </w:rPr>
        <w:t>TEACHING UNIT 10</w:t>
      </w:r>
    </w:p>
    <w:p w14:paraId="3DFD2DED" w14:textId="77777777" w:rsidR="00BA3640" w:rsidRPr="00A31829" w:rsidRDefault="00AD5C60">
      <w:pPr>
        <w:spacing w:line="20" w:lineRule="exact"/>
        <w:rPr>
          <w:sz w:val="24"/>
          <w:szCs w:val="24"/>
        </w:rPr>
      </w:pPr>
      <w:r w:rsidRPr="00A31829">
        <w:rPr>
          <w:noProof/>
          <w:sz w:val="24"/>
          <w:szCs w:val="24"/>
        </w:rPr>
        <w:drawing>
          <wp:anchor distT="0" distB="0" distL="114300" distR="114300" simplePos="0" relativeHeight="251652608" behindDoc="1" locked="0" layoutInCell="0" allowOverlap="1" wp14:anchorId="486D69A8" wp14:editId="287B1F49">
            <wp:simplePos x="0" y="0"/>
            <wp:positionH relativeFrom="column">
              <wp:posOffset>858520</wp:posOffset>
            </wp:positionH>
            <wp:positionV relativeFrom="paragraph">
              <wp:posOffset>129540</wp:posOffset>
            </wp:positionV>
            <wp:extent cx="538670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srcRect/>
                    <a:stretch>
                      <a:fillRect/>
                    </a:stretch>
                  </pic:blipFill>
                  <pic:spPr bwMode="auto">
                    <a:xfrm>
                      <a:off x="0" y="0"/>
                      <a:ext cx="5386705" cy="6350"/>
                    </a:xfrm>
                    <a:prstGeom prst="rect">
                      <a:avLst/>
                    </a:prstGeom>
                    <a:noFill/>
                  </pic:spPr>
                </pic:pic>
              </a:graphicData>
            </a:graphic>
          </wp:anchor>
        </w:drawing>
      </w:r>
    </w:p>
    <w:p w14:paraId="34D7A062" w14:textId="77777777" w:rsidR="00BA3640" w:rsidRPr="00A31829" w:rsidRDefault="00BA3640">
      <w:pPr>
        <w:spacing w:line="200" w:lineRule="exact"/>
        <w:rPr>
          <w:sz w:val="24"/>
          <w:szCs w:val="24"/>
        </w:rPr>
      </w:pPr>
    </w:p>
    <w:p w14:paraId="4F30ADC9" w14:textId="77777777" w:rsidR="00BA3640" w:rsidRPr="00A31829" w:rsidRDefault="00BA3640">
      <w:pPr>
        <w:spacing w:line="200" w:lineRule="exact"/>
        <w:rPr>
          <w:sz w:val="24"/>
          <w:szCs w:val="24"/>
        </w:rPr>
      </w:pPr>
    </w:p>
    <w:p w14:paraId="1987DE39" w14:textId="77777777" w:rsidR="00BA3640" w:rsidRPr="00A31829" w:rsidRDefault="00BA3640">
      <w:pPr>
        <w:spacing w:line="200" w:lineRule="exact"/>
        <w:rPr>
          <w:sz w:val="24"/>
          <w:szCs w:val="24"/>
        </w:rPr>
      </w:pPr>
    </w:p>
    <w:p w14:paraId="0C650142" w14:textId="77777777" w:rsidR="00BA3640" w:rsidRPr="00A31829" w:rsidRDefault="00BA3640">
      <w:pPr>
        <w:spacing w:line="200" w:lineRule="exact"/>
        <w:rPr>
          <w:sz w:val="24"/>
          <w:szCs w:val="24"/>
        </w:rPr>
      </w:pPr>
    </w:p>
    <w:p w14:paraId="19EDFE92" w14:textId="77777777" w:rsidR="00BA3640" w:rsidRPr="00A31829" w:rsidRDefault="00BA3640">
      <w:pPr>
        <w:spacing w:line="200" w:lineRule="exact"/>
        <w:rPr>
          <w:sz w:val="24"/>
          <w:szCs w:val="24"/>
        </w:rPr>
      </w:pPr>
    </w:p>
    <w:p w14:paraId="5A4BE65A" w14:textId="77777777" w:rsidR="00BA3640" w:rsidRPr="00A31829" w:rsidRDefault="00BA3640">
      <w:pPr>
        <w:spacing w:line="307" w:lineRule="exact"/>
        <w:rPr>
          <w:sz w:val="24"/>
          <w:szCs w:val="24"/>
        </w:rPr>
      </w:pPr>
    </w:p>
    <w:p w14:paraId="2CD0F731" w14:textId="77777777" w:rsidR="00BA3640" w:rsidRPr="00A31829" w:rsidRDefault="00AD5C60">
      <w:pPr>
        <w:ind w:left="1380"/>
        <w:rPr>
          <w:sz w:val="20"/>
          <w:szCs w:val="20"/>
        </w:rPr>
      </w:pPr>
      <w:r w:rsidRPr="00A31829">
        <w:rPr>
          <w:rFonts w:eastAsia="Arial"/>
          <w:b/>
          <w:bCs/>
          <w:color w:val="244061"/>
          <w:sz w:val="27"/>
          <w:szCs w:val="27"/>
        </w:rPr>
        <w:t>IMMUNE BASIS OF THYROID GLAND DISEASE</w:t>
      </w:r>
    </w:p>
    <w:p w14:paraId="67A7ED3D" w14:textId="77777777" w:rsidR="00BA3640" w:rsidRPr="00A31829" w:rsidRDefault="00BA3640">
      <w:pPr>
        <w:spacing w:line="200" w:lineRule="exact"/>
        <w:rPr>
          <w:sz w:val="24"/>
          <w:szCs w:val="24"/>
        </w:rPr>
      </w:pPr>
    </w:p>
    <w:p w14:paraId="30452037" w14:textId="77777777" w:rsidR="00BA3640" w:rsidRPr="00A31829" w:rsidRDefault="00BA3640">
      <w:pPr>
        <w:spacing w:line="200" w:lineRule="exact"/>
        <w:rPr>
          <w:sz w:val="24"/>
          <w:szCs w:val="24"/>
        </w:rPr>
      </w:pPr>
    </w:p>
    <w:p w14:paraId="66F1BCC3" w14:textId="77777777" w:rsidR="00BA3640" w:rsidRPr="00A31829" w:rsidRDefault="00BA3640">
      <w:pPr>
        <w:spacing w:line="200" w:lineRule="exact"/>
        <w:rPr>
          <w:sz w:val="24"/>
          <w:szCs w:val="24"/>
        </w:rPr>
      </w:pPr>
    </w:p>
    <w:p w14:paraId="62E37C6C" w14:textId="77777777" w:rsidR="00BA3640" w:rsidRPr="00A31829" w:rsidRDefault="00BA3640">
      <w:pPr>
        <w:spacing w:line="375" w:lineRule="exact"/>
        <w:rPr>
          <w:sz w:val="24"/>
          <w:szCs w:val="24"/>
        </w:rPr>
      </w:pPr>
    </w:p>
    <w:p w14:paraId="4C29378A" w14:textId="5A08B45A" w:rsidR="00BA3640" w:rsidRPr="00A31829" w:rsidRDefault="00AD5C60" w:rsidP="00A31829">
      <w:pPr>
        <w:spacing w:line="432" w:lineRule="auto"/>
        <w:ind w:left="1380" w:right="20" w:firstLine="720"/>
        <w:jc w:val="both"/>
        <w:rPr>
          <w:sz w:val="24"/>
          <w:szCs w:val="24"/>
        </w:rPr>
      </w:pPr>
      <w:r w:rsidRPr="00A31829">
        <w:rPr>
          <w:rFonts w:eastAsia="Arial"/>
          <w:sz w:val="24"/>
          <w:szCs w:val="24"/>
        </w:rPr>
        <w:t>Functional disorders of the endocrine glands are caused by their</w:t>
      </w:r>
      <w:r w:rsidR="00AC2E9B">
        <w:rPr>
          <w:rFonts w:eastAsia="Arial"/>
          <w:sz w:val="24"/>
          <w:szCs w:val="24"/>
        </w:rPr>
        <w:t xml:space="preserve"> </w:t>
      </w:r>
      <w:r w:rsidRPr="00A31829">
        <w:rPr>
          <w:rFonts w:eastAsia="Arial"/>
          <w:sz w:val="24"/>
          <w:szCs w:val="24"/>
        </w:rPr>
        <w:t>increased activities which results in excessive hormone production, or as a result</w:t>
      </w:r>
      <w:r w:rsidR="00AC2E9B">
        <w:rPr>
          <w:rFonts w:eastAsia="Arial"/>
          <w:sz w:val="24"/>
          <w:szCs w:val="24"/>
        </w:rPr>
        <w:t xml:space="preserve"> </w:t>
      </w:r>
      <w:r w:rsidRPr="00A31829">
        <w:rPr>
          <w:rFonts w:eastAsia="Arial"/>
          <w:sz w:val="24"/>
          <w:szCs w:val="24"/>
        </w:rPr>
        <w:t>atrophy endocrine glands, due to which the production of relevant hormones is absent. There are many causes of glandular dysfunction, while an autoimmune reaction to endocrine tissue is one of the most common.</w:t>
      </w:r>
    </w:p>
    <w:p w14:paraId="64449015" w14:textId="77777777" w:rsidR="00BA3640" w:rsidRPr="00A31829" w:rsidRDefault="00BA3640" w:rsidP="00A31829">
      <w:pPr>
        <w:spacing w:line="309" w:lineRule="exact"/>
        <w:jc w:val="both"/>
        <w:rPr>
          <w:sz w:val="24"/>
          <w:szCs w:val="24"/>
        </w:rPr>
      </w:pPr>
    </w:p>
    <w:p w14:paraId="3558657F" w14:textId="77777777" w:rsidR="00BA3640" w:rsidRPr="00A31829" w:rsidRDefault="00AD5C60" w:rsidP="00A31829">
      <w:pPr>
        <w:spacing w:line="407" w:lineRule="auto"/>
        <w:ind w:left="1380" w:right="200" w:firstLine="720"/>
        <w:jc w:val="both"/>
        <w:rPr>
          <w:sz w:val="24"/>
          <w:szCs w:val="24"/>
        </w:rPr>
      </w:pPr>
      <w:r w:rsidRPr="00A31829">
        <w:rPr>
          <w:rFonts w:eastAsia="Arial"/>
          <w:sz w:val="24"/>
          <w:szCs w:val="24"/>
        </w:rPr>
        <w:t>Most autoimmune endocrine disorders are clinically silent until features of organ failure develop. At this stage, the gland is often irreversibly damaged with little chance of recovery even if the autoimmune process is stopped.</w:t>
      </w:r>
    </w:p>
    <w:p w14:paraId="1B3A9A3F" w14:textId="77777777" w:rsidR="00BA3640" w:rsidRPr="00A31829" w:rsidRDefault="00BA3640" w:rsidP="00A31829">
      <w:pPr>
        <w:spacing w:line="200" w:lineRule="exact"/>
        <w:jc w:val="both"/>
        <w:rPr>
          <w:sz w:val="24"/>
          <w:szCs w:val="24"/>
        </w:rPr>
      </w:pPr>
    </w:p>
    <w:p w14:paraId="323C25F3" w14:textId="77777777" w:rsidR="00BA3640" w:rsidRPr="00A31829" w:rsidRDefault="00BA3640">
      <w:pPr>
        <w:spacing w:line="200" w:lineRule="exact"/>
        <w:rPr>
          <w:sz w:val="24"/>
          <w:szCs w:val="24"/>
        </w:rPr>
      </w:pPr>
    </w:p>
    <w:p w14:paraId="4888A48F" w14:textId="77777777" w:rsidR="00BA3640" w:rsidRPr="00A31829" w:rsidRDefault="00BA3640">
      <w:pPr>
        <w:spacing w:line="315" w:lineRule="exact"/>
        <w:rPr>
          <w:sz w:val="24"/>
          <w:szCs w:val="24"/>
        </w:rPr>
      </w:pPr>
    </w:p>
    <w:p w14:paraId="3D1DCE27" w14:textId="77777777" w:rsidR="00BA3640" w:rsidRPr="00A31829" w:rsidRDefault="00AD5C60">
      <w:pPr>
        <w:tabs>
          <w:tab w:val="left" w:pos="2860"/>
        </w:tabs>
        <w:ind w:left="1740"/>
        <w:rPr>
          <w:sz w:val="24"/>
          <w:szCs w:val="24"/>
        </w:rPr>
      </w:pPr>
      <w:r w:rsidRPr="00A31829">
        <w:rPr>
          <w:rFonts w:eastAsia="Arial"/>
          <w:b/>
          <w:bCs/>
          <w:sz w:val="24"/>
          <w:szCs w:val="24"/>
        </w:rPr>
        <w:t>1.1.</w:t>
      </w:r>
      <w:r w:rsidRPr="00A31829">
        <w:rPr>
          <w:sz w:val="20"/>
          <w:szCs w:val="20"/>
        </w:rPr>
        <w:tab/>
      </w:r>
      <w:r w:rsidRPr="00A31829">
        <w:rPr>
          <w:rFonts w:eastAsia="Arial"/>
          <w:b/>
          <w:bCs/>
          <w:sz w:val="24"/>
          <w:szCs w:val="24"/>
        </w:rPr>
        <w:t>Mechanisms of autoimmunity in endocrine diseases</w:t>
      </w:r>
    </w:p>
    <w:p w14:paraId="3B7A7D98" w14:textId="77777777" w:rsidR="00BA3640" w:rsidRPr="00A31829" w:rsidRDefault="00BA3640">
      <w:pPr>
        <w:spacing w:line="200" w:lineRule="exact"/>
        <w:rPr>
          <w:sz w:val="24"/>
          <w:szCs w:val="24"/>
        </w:rPr>
      </w:pPr>
    </w:p>
    <w:p w14:paraId="6530F85F" w14:textId="77777777" w:rsidR="00BA3640" w:rsidRPr="00A31829" w:rsidRDefault="00BA3640">
      <w:pPr>
        <w:spacing w:line="363" w:lineRule="exact"/>
        <w:rPr>
          <w:sz w:val="24"/>
          <w:szCs w:val="24"/>
        </w:rPr>
      </w:pPr>
    </w:p>
    <w:p w14:paraId="22B551A5" w14:textId="77777777" w:rsidR="00BA3640" w:rsidRPr="00A31829" w:rsidRDefault="00AD5C60" w:rsidP="00A31829">
      <w:pPr>
        <w:spacing w:line="374" w:lineRule="auto"/>
        <w:ind w:left="1380" w:right="160" w:firstLine="720"/>
        <w:jc w:val="both"/>
        <w:rPr>
          <w:sz w:val="24"/>
          <w:szCs w:val="24"/>
        </w:rPr>
      </w:pPr>
      <w:r w:rsidRPr="00A31829">
        <w:rPr>
          <w:rFonts w:eastAsia="Arial"/>
          <w:sz w:val="24"/>
          <w:szCs w:val="24"/>
        </w:rPr>
        <w:t>Autoimmune reactions can be directed against endocrine cells, their receptors, hormones or receptors on target cells.</w:t>
      </w:r>
    </w:p>
    <w:p w14:paraId="2109E775" w14:textId="77777777" w:rsidR="00BA3640" w:rsidRPr="00A31829" w:rsidRDefault="00BA3640" w:rsidP="00A31829">
      <w:pPr>
        <w:spacing w:line="1" w:lineRule="exact"/>
        <w:jc w:val="both"/>
        <w:rPr>
          <w:sz w:val="24"/>
          <w:szCs w:val="24"/>
        </w:rPr>
      </w:pPr>
    </w:p>
    <w:p w14:paraId="1401360B" w14:textId="77777777" w:rsidR="00BA3640" w:rsidRPr="00A31829" w:rsidRDefault="00AD5C60" w:rsidP="00A31829">
      <w:pPr>
        <w:spacing w:line="383" w:lineRule="auto"/>
        <w:ind w:left="1380" w:right="-20" w:firstLine="720"/>
        <w:jc w:val="both"/>
        <w:rPr>
          <w:sz w:val="24"/>
          <w:szCs w:val="24"/>
        </w:rPr>
      </w:pPr>
      <w:r w:rsidRPr="00A31829">
        <w:rPr>
          <w:rFonts w:eastAsia="Arial"/>
          <w:sz w:val="24"/>
          <w:szCs w:val="24"/>
        </w:rPr>
        <w:t>Autoantibodies to endocrine cells are organ-specific and are detected only by tests based on the use of antigens of a specific endocrine gland. On the contrary, in systemic diseases (eg systemic lupus erythematosus) antigens are not organ-specific (eg nuclear antigens) but are present in all organs and tissues.</w:t>
      </w:r>
    </w:p>
    <w:p w14:paraId="76119AF8" w14:textId="533D0A3F" w:rsidR="00BA3640" w:rsidRPr="00A31829" w:rsidRDefault="00AD5C60" w:rsidP="00F65B94">
      <w:pPr>
        <w:spacing w:line="447" w:lineRule="auto"/>
        <w:ind w:left="1380" w:firstLine="720"/>
        <w:jc w:val="both"/>
        <w:rPr>
          <w:sz w:val="24"/>
          <w:szCs w:val="24"/>
        </w:rPr>
        <w:sectPr w:rsidR="00BA3640" w:rsidRPr="00A31829">
          <w:pgSz w:w="12240" w:h="15840"/>
          <w:pgMar w:top="0" w:right="1400" w:bottom="1014" w:left="60" w:header="0" w:footer="0" w:gutter="0"/>
          <w:cols w:space="720" w:equalWidth="0">
            <w:col w:w="10780"/>
          </w:cols>
        </w:sectPr>
      </w:pPr>
      <w:r w:rsidRPr="00A31829">
        <w:rPr>
          <w:rFonts w:eastAsia="Arial"/>
          <w:sz w:val="24"/>
          <w:szCs w:val="24"/>
        </w:rPr>
        <w:t>There are several mechanisms of autoimmune damage, and usually</w:t>
      </w:r>
      <w:r w:rsidR="00A96524">
        <w:rPr>
          <w:rFonts w:eastAsia="Arial"/>
          <w:sz w:val="24"/>
          <w:szCs w:val="24"/>
        </w:rPr>
        <w:t>,</w:t>
      </w:r>
      <w:r w:rsidRPr="00A31829">
        <w:rPr>
          <w:rFonts w:eastAsia="Arial"/>
          <w:sz w:val="24"/>
          <w:szCs w:val="24"/>
        </w:rPr>
        <w:t xml:space="preserve"> multiple mechanisms may be involved in the development of the disease. Research results indicate that T lymphocytes and antibodies often participate together in the pathogenesis of autoimmune endocrine diseases. T lymphocytes (CD4+ and CD8+ T lymphocytes) are responsible for the destruction of glandular tissue, while antibodies act to interfere with the physiological function of the gland</w:t>
      </w:r>
      <w:bookmarkStart w:id="0" w:name="page2"/>
      <w:bookmarkEnd w:id="0"/>
      <w:r w:rsidR="00F65B94">
        <w:rPr>
          <w:rFonts w:eastAsia="Arial"/>
          <w:sz w:val="24"/>
          <w:szCs w:val="24"/>
        </w:rPr>
        <w:t>.</w:t>
      </w:r>
    </w:p>
    <w:p w14:paraId="1C730F43" w14:textId="1DEF0EA7" w:rsidR="00BA3640" w:rsidRPr="00A31829" w:rsidRDefault="00F65B94" w:rsidP="00F65B94">
      <w:pPr>
        <w:spacing w:line="407" w:lineRule="auto"/>
        <w:ind w:right="100"/>
        <w:jc w:val="both"/>
        <w:rPr>
          <w:sz w:val="24"/>
          <w:szCs w:val="24"/>
        </w:rPr>
      </w:pPr>
      <w:r>
        <w:rPr>
          <w:rFonts w:eastAsia="Arial"/>
          <w:sz w:val="24"/>
          <w:szCs w:val="24"/>
        </w:rPr>
        <w:lastRenderedPageBreak/>
        <w:t>I</w:t>
      </w:r>
      <w:r w:rsidRPr="00A31829">
        <w:rPr>
          <w:rFonts w:eastAsia="Arial"/>
          <w:sz w:val="24"/>
          <w:szCs w:val="24"/>
        </w:rPr>
        <w:t>n autoimmune syndromes in newborns, caused by transplacental transfer of IgG, the disruption in endocrine function is transient and disappears after 3 weeks (corresponding to the half-life time of antibodies) without significant damage in the target organ.</w:t>
      </w:r>
    </w:p>
    <w:p w14:paraId="051D37DD" w14:textId="77777777" w:rsidR="00BA3640" w:rsidRPr="00A31829" w:rsidRDefault="00BA3640" w:rsidP="00A31829">
      <w:pPr>
        <w:spacing w:line="2" w:lineRule="exact"/>
        <w:jc w:val="both"/>
        <w:rPr>
          <w:sz w:val="24"/>
          <w:szCs w:val="24"/>
        </w:rPr>
      </w:pPr>
    </w:p>
    <w:p w14:paraId="4CF4C771" w14:textId="77777777" w:rsidR="00BA3640" w:rsidRPr="00A31829" w:rsidRDefault="00AD5C60" w:rsidP="00A31829">
      <w:pPr>
        <w:spacing w:line="388" w:lineRule="auto"/>
        <w:ind w:left="100" w:firstLine="720"/>
        <w:jc w:val="both"/>
        <w:rPr>
          <w:sz w:val="24"/>
          <w:szCs w:val="24"/>
        </w:rPr>
      </w:pPr>
      <w:r w:rsidRPr="00A31829">
        <w:rPr>
          <w:rFonts w:eastAsia="Arial"/>
          <w:sz w:val="24"/>
          <w:szCs w:val="24"/>
        </w:rPr>
        <w:t>Antibodies can affect the function or growth of an endocrine gland by reacting with hormone receptors. These antibodies can be stimulating or neutralizing. Patients may have a mixture of antibodies directed at the receptors, with some of these antibodies stimulating and some blocking the receptors. The shift (change) of one type of antibody to another can explain why in some people there are fluctuations in the function of the gland from hyperactivity to hypoactivity.</w:t>
      </w:r>
    </w:p>
    <w:p w14:paraId="65940FB1" w14:textId="77777777" w:rsidR="00BA3640" w:rsidRPr="00A31829" w:rsidRDefault="00BA3640">
      <w:pPr>
        <w:spacing w:line="377" w:lineRule="exact"/>
        <w:rPr>
          <w:sz w:val="20"/>
          <w:szCs w:val="20"/>
        </w:rPr>
      </w:pPr>
    </w:p>
    <w:p w14:paraId="7C2AEABD" w14:textId="77777777" w:rsidR="00BA3640" w:rsidRPr="00A31829" w:rsidRDefault="00AD5C60">
      <w:pPr>
        <w:ind w:left="820"/>
        <w:rPr>
          <w:sz w:val="24"/>
          <w:szCs w:val="24"/>
        </w:rPr>
      </w:pPr>
      <w:r w:rsidRPr="00A31829">
        <w:rPr>
          <w:rFonts w:eastAsia="Arial"/>
          <w:b/>
          <w:bCs/>
          <w:sz w:val="19"/>
          <w:szCs w:val="19"/>
        </w:rPr>
        <w:t xml:space="preserve">1.2. </w:t>
      </w:r>
      <w:r w:rsidRPr="00A31829">
        <w:rPr>
          <w:rFonts w:eastAsia="Arial"/>
          <w:b/>
          <w:bCs/>
          <w:sz w:val="24"/>
          <w:szCs w:val="24"/>
        </w:rPr>
        <w:t>Diseases of the thyroid gland</w:t>
      </w:r>
    </w:p>
    <w:p w14:paraId="157C5504" w14:textId="77777777" w:rsidR="00BA3640" w:rsidRPr="00A31829" w:rsidRDefault="00BA3640">
      <w:pPr>
        <w:spacing w:line="200" w:lineRule="exact"/>
        <w:rPr>
          <w:sz w:val="24"/>
          <w:szCs w:val="24"/>
        </w:rPr>
      </w:pPr>
    </w:p>
    <w:p w14:paraId="5DD633C6" w14:textId="77777777" w:rsidR="00BA3640" w:rsidRPr="00A31829" w:rsidRDefault="00BA3640">
      <w:pPr>
        <w:spacing w:line="367" w:lineRule="exact"/>
        <w:rPr>
          <w:sz w:val="24"/>
          <w:szCs w:val="24"/>
        </w:rPr>
      </w:pPr>
    </w:p>
    <w:p w14:paraId="03A88125" w14:textId="6E51FCF0" w:rsidR="00A31829" w:rsidRDefault="00AD5C60" w:rsidP="00224811">
      <w:pPr>
        <w:spacing w:line="380" w:lineRule="auto"/>
        <w:ind w:left="100" w:right="40" w:firstLine="720"/>
        <w:jc w:val="both"/>
        <w:rPr>
          <w:rFonts w:eastAsia="Arial"/>
          <w:sz w:val="24"/>
          <w:szCs w:val="24"/>
        </w:rPr>
      </w:pPr>
      <w:r w:rsidRPr="00A31829">
        <w:rPr>
          <w:rFonts w:eastAsia="Arial"/>
          <w:sz w:val="24"/>
          <w:szCs w:val="24"/>
        </w:rPr>
        <w:t xml:space="preserve">Several thyroid antigens have been identified such as thyroglobulin, thyroid peroxidase (thyroid microsomal antigens), </w:t>
      </w:r>
      <w:r w:rsidRPr="00224811">
        <w:rPr>
          <w:rFonts w:eastAsia="Arial"/>
          <w:sz w:val="24"/>
          <w:szCs w:val="24"/>
        </w:rPr>
        <w:t>Na</w:t>
      </w:r>
      <w:r w:rsidR="00224811" w:rsidRPr="00224811">
        <w:rPr>
          <w:rFonts w:eastAsia="Arial"/>
          <w:sz w:val="24"/>
          <w:szCs w:val="24"/>
          <w:vertAlign w:val="superscript"/>
        </w:rPr>
        <w:t>+</w:t>
      </w:r>
      <w:r w:rsidRPr="00224811">
        <w:rPr>
          <w:rFonts w:eastAsia="Arial"/>
          <w:sz w:val="24"/>
          <w:szCs w:val="24"/>
        </w:rPr>
        <w:t xml:space="preserve"> and I</w:t>
      </w:r>
      <w:r w:rsidR="00224811" w:rsidRPr="00224811">
        <w:rPr>
          <w:rFonts w:eastAsia="Arial"/>
          <w:sz w:val="24"/>
          <w:szCs w:val="24"/>
          <w:vertAlign w:val="superscript"/>
        </w:rPr>
        <w:t>-</w:t>
      </w:r>
      <w:r w:rsidR="00224811" w:rsidRPr="00224811">
        <w:rPr>
          <w:rFonts w:eastAsia="Arial"/>
          <w:sz w:val="24"/>
          <w:szCs w:val="24"/>
        </w:rPr>
        <w:t xml:space="preserve"> symporter</w:t>
      </w:r>
      <w:r w:rsidR="00224811">
        <w:rPr>
          <w:rFonts w:eastAsia="Arial"/>
          <w:sz w:val="24"/>
          <w:szCs w:val="24"/>
        </w:rPr>
        <w:t xml:space="preserve"> </w:t>
      </w:r>
      <w:r w:rsidRPr="00A31829">
        <w:rPr>
          <w:rFonts w:eastAsia="Arial"/>
          <w:sz w:val="24"/>
          <w:szCs w:val="24"/>
        </w:rPr>
        <w:t>(responsible for iodine uptake in thyroid cells), surface and other cytoplasmic thyroid antigens. Of these antigens, thyroid peroxidase is available and used clinically in antibody detection assays (Table 1). This enzyme catalyzes the iodination of tyrosyl groups in thyroglobulin resulting in the synthesis of thyroid hormones, T3 and T4. The presence and especially a high titer of antibodies to thyroid peroxidase are a reliable sign of an autoimmune process in the gland. They are not directly proportional to the activity of the process, but they are certainly a sign of an autoimmune reaction.</w:t>
      </w:r>
    </w:p>
    <w:p w14:paraId="10CA82EC" w14:textId="77777777" w:rsidR="00A31829" w:rsidRDefault="00A31829">
      <w:pPr>
        <w:rPr>
          <w:rFonts w:eastAsia="Arial"/>
          <w:sz w:val="24"/>
          <w:szCs w:val="24"/>
        </w:rPr>
      </w:pPr>
      <w:r>
        <w:rPr>
          <w:rFonts w:eastAsia="Arial"/>
          <w:sz w:val="24"/>
          <w:szCs w:val="24"/>
        </w:rPr>
        <w:br w:type="page"/>
      </w:r>
    </w:p>
    <w:p w14:paraId="2FE95713" w14:textId="77777777" w:rsidR="00BA3640" w:rsidRPr="00A31829" w:rsidRDefault="00BA3640" w:rsidP="00A31829">
      <w:pPr>
        <w:spacing w:line="403" w:lineRule="auto"/>
        <w:ind w:left="100" w:right="60"/>
        <w:jc w:val="both"/>
        <w:rPr>
          <w:sz w:val="24"/>
          <w:szCs w:val="24"/>
        </w:rPr>
      </w:pPr>
    </w:p>
    <w:p w14:paraId="726F0EA7" w14:textId="77777777" w:rsidR="00BA3640" w:rsidRPr="00A31829" w:rsidRDefault="00BA3640">
      <w:pPr>
        <w:spacing w:line="328" w:lineRule="exact"/>
        <w:rPr>
          <w:sz w:val="24"/>
          <w:szCs w:val="24"/>
        </w:rPr>
      </w:pPr>
    </w:p>
    <w:p w14:paraId="29920EEF" w14:textId="77777777" w:rsidR="00BA3640" w:rsidRPr="00A31829" w:rsidRDefault="00AD5C60">
      <w:pPr>
        <w:spacing w:line="437" w:lineRule="auto"/>
        <w:ind w:left="100" w:right="760"/>
        <w:rPr>
          <w:sz w:val="24"/>
          <w:szCs w:val="24"/>
        </w:rPr>
      </w:pPr>
      <w:r w:rsidRPr="00A31829">
        <w:rPr>
          <w:rFonts w:eastAsia="Arial"/>
          <w:b/>
          <w:bCs/>
          <w:sz w:val="24"/>
          <w:szCs w:val="24"/>
          <w:u w:val="single"/>
        </w:rPr>
        <w:t>Table 1.</w:t>
      </w:r>
      <w:r w:rsidRPr="00A31829">
        <w:rPr>
          <w:rFonts w:eastAsia="Arial"/>
          <w:b/>
          <w:bCs/>
          <w:sz w:val="24"/>
          <w:szCs w:val="24"/>
        </w:rPr>
        <w:t xml:space="preserve"> Antibodies directed at thyroid peroxidase which are usually detected in various thyroid diseases</w:t>
      </w:r>
    </w:p>
    <w:p w14:paraId="6353C0D0" w14:textId="77777777" w:rsidR="00BA3640" w:rsidRPr="00A31829" w:rsidRDefault="00BA3640">
      <w:pPr>
        <w:spacing w:line="278"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100"/>
        <w:gridCol w:w="4140"/>
        <w:gridCol w:w="20"/>
        <w:gridCol w:w="390"/>
        <w:gridCol w:w="3910"/>
        <w:gridCol w:w="20"/>
      </w:tblGrid>
      <w:tr w:rsidR="00BA3640" w:rsidRPr="00A31829" w14:paraId="7F6DF3A9" w14:textId="77777777">
        <w:trPr>
          <w:trHeight w:val="22"/>
        </w:trPr>
        <w:tc>
          <w:tcPr>
            <w:tcW w:w="100" w:type="dxa"/>
            <w:vAlign w:val="bottom"/>
          </w:tcPr>
          <w:p w14:paraId="1F18CB2C" w14:textId="77777777" w:rsidR="00BA3640" w:rsidRPr="00A31829" w:rsidRDefault="00BA3640">
            <w:pPr>
              <w:spacing w:line="20" w:lineRule="exact"/>
              <w:rPr>
                <w:sz w:val="1"/>
                <w:szCs w:val="1"/>
              </w:rPr>
            </w:pPr>
          </w:p>
        </w:tc>
        <w:tc>
          <w:tcPr>
            <w:tcW w:w="4140" w:type="dxa"/>
            <w:vAlign w:val="bottom"/>
          </w:tcPr>
          <w:p w14:paraId="15372822" w14:textId="77777777" w:rsidR="00BA3640" w:rsidRPr="00A31829" w:rsidRDefault="00BA3640">
            <w:pPr>
              <w:spacing w:line="20" w:lineRule="exact"/>
              <w:rPr>
                <w:sz w:val="1"/>
                <w:szCs w:val="1"/>
              </w:rPr>
            </w:pPr>
          </w:p>
        </w:tc>
        <w:tc>
          <w:tcPr>
            <w:tcW w:w="20" w:type="dxa"/>
            <w:vMerge w:val="restart"/>
            <w:vAlign w:val="bottom"/>
          </w:tcPr>
          <w:p w14:paraId="000B6F55" w14:textId="77777777" w:rsidR="00BA3640" w:rsidRPr="00A31829" w:rsidRDefault="00BA3640">
            <w:pPr>
              <w:spacing w:line="20" w:lineRule="exact"/>
              <w:rPr>
                <w:sz w:val="1"/>
                <w:szCs w:val="1"/>
              </w:rPr>
            </w:pPr>
          </w:p>
        </w:tc>
        <w:tc>
          <w:tcPr>
            <w:tcW w:w="390" w:type="dxa"/>
            <w:vAlign w:val="bottom"/>
          </w:tcPr>
          <w:p w14:paraId="51BAAE39" w14:textId="77777777" w:rsidR="00BA3640" w:rsidRPr="00A31829" w:rsidRDefault="00BA3640">
            <w:pPr>
              <w:spacing w:line="20" w:lineRule="exact"/>
              <w:rPr>
                <w:sz w:val="1"/>
                <w:szCs w:val="1"/>
              </w:rPr>
            </w:pPr>
          </w:p>
        </w:tc>
        <w:tc>
          <w:tcPr>
            <w:tcW w:w="3910" w:type="dxa"/>
            <w:vAlign w:val="bottom"/>
          </w:tcPr>
          <w:p w14:paraId="01BAB035" w14:textId="77777777" w:rsidR="00BA3640" w:rsidRPr="00A31829" w:rsidRDefault="00BA3640">
            <w:pPr>
              <w:spacing w:line="20" w:lineRule="exact"/>
              <w:rPr>
                <w:sz w:val="1"/>
                <w:szCs w:val="1"/>
              </w:rPr>
            </w:pPr>
          </w:p>
        </w:tc>
        <w:tc>
          <w:tcPr>
            <w:tcW w:w="0" w:type="dxa"/>
            <w:vAlign w:val="bottom"/>
          </w:tcPr>
          <w:p w14:paraId="720686CA" w14:textId="77777777" w:rsidR="00BA3640" w:rsidRPr="00A31829" w:rsidRDefault="00BA3640">
            <w:pPr>
              <w:spacing w:line="20" w:lineRule="exact"/>
              <w:rPr>
                <w:sz w:val="1"/>
                <w:szCs w:val="1"/>
              </w:rPr>
            </w:pPr>
          </w:p>
        </w:tc>
      </w:tr>
      <w:tr w:rsidR="00BA3640" w:rsidRPr="00A31829" w14:paraId="358D921E" w14:textId="77777777">
        <w:trPr>
          <w:trHeight w:val="334"/>
        </w:trPr>
        <w:tc>
          <w:tcPr>
            <w:tcW w:w="100" w:type="dxa"/>
            <w:shd w:val="clear" w:color="auto" w:fill="664E82"/>
            <w:vAlign w:val="bottom"/>
          </w:tcPr>
          <w:p w14:paraId="38298A1D" w14:textId="77777777" w:rsidR="00BA3640" w:rsidRPr="00A31829" w:rsidRDefault="00BA3640">
            <w:pPr>
              <w:rPr>
                <w:sz w:val="24"/>
                <w:szCs w:val="24"/>
              </w:rPr>
            </w:pPr>
          </w:p>
        </w:tc>
        <w:tc>
          <w:tcPr>
            <w:tcW w:w="4140" w:type="dxa"/>
            <w:shd w:val="clear" w:color="auto" w:fill="664E82"/>
            <w:vAlign w:val="bottom"/>
          </w:tcPr>
          <w:p w14:paraId="2CA44DC8" w14:textId="77777777" w:rsidR="00BA3640" w:rsidRPr="00A31829" w:rsidRDefault="00AD5C60">
            <w:pPr>
              <w:ind w:left="620"/>
              <w:rPr>
                <w:sz w:val="20"/>
                <w:szCs w:val="20"/>
              </w:rPr>
            </w:pPr>
            <w:r w:rsidRPr="00A31829">
              <w:rPr>
                <w:rFonts w:eastAsia="Arial"/>
                <w:b/>
                <w:bCs/>
                <w:color w:val="FFFFFF"/>
                <w:sz w:val="23"/>
                <w:szCs w:val="23"/>
              </w:rPr>
              <w:t>Clinical manifestations</w:t>
            </w:r>
          </w:p>
        </w:tc>
        <w:tc>
          <w:tcPr>
            <w:tcW w:w="20" w:type="dxa"/>
            <w:vMerge/>
            <w:vAlign w:val="bottom"/>
          </w:tcPr>
          <w:p w14:paraId="3648C3EE" w14:textId="77777777" w:rsidR="00BA3640" w:rsidRPr="00A31829" w:rsidRDefault="00BA3640">
            <w:pPr>
              <w:rPr>
                <w:sz w:val="24"/>
                <w:szCs w:val="24"/>
              </w:rPr>
            </w:pPr>
          </w:p>
        </w:tc>
        <w:tc>
          <w:tcPr>
            <w:tcW w:w="390" w:type="dxa"/>
            <w:shd w:val="clear" w:color="auto" w:fill="664E82"/>
            <w:vAlign w:val="bottom"/>
          </w:tcPr>
          <w:p w14:paraId="209145DF" w14:textId="77777777" w:rsidR="00BA3640" w:rsidRPr="00A31829" w:rsidRDefault="00BA3640">
            <w:pPr>
              <w:rPr>
                <w:sz w:val="24"/>
                <w:szCs w:val="24"/>
              </w:rPr>
            </w:pPr>
          </w:p>
        </w:tc>
        <w:tc>
          <w:tcPr>
            <w:tcW w:w="3910" w:type="dxa"/>
            <w:shd w:val="clear" w:color="auto" w:fill="664E82"/>
            <w:vAlign w:val="bottom"/>
          </w:tcPr>
          <w:p w14:paraId="00324FA3" w14:textId="77777777" w:rsidR="00BA3640" w:rsidRPr="00A31829" w:rsidRDefault="00AD5C60">
            <w:pPr>
              <w:ind w:left="130"/>
              <w:rPr>
                <w:sz w:val="20"/>
                <w:szCs w:val="20"/>
              </w:rPr>
            </w:pPr>
            <w:r w:rsidRPr="00A31829">
              <w:rPr>
                <w:rFonts w:eastAsia="Arial"/>
                <w:b/>
                <w:bCs/>
                <w:color w:val="FFFFFF"/>
                <w:sz w:val="23"/>
                <w:szCs w:val="23"/>
              </w:rPr>
              <w:t>Thyroid-directed antibodies</w:t>
            </w:r>
          </w:p>
        </w:tc>
        <w:tc>
          <w:tcPr>
            <w:tcW w:w="0" w:type="dxa"/>
            <w:vAlign w:val="bottom"/>
          </w:tcPr>
          <w:p w14:paraId="2525C89A" w14:textId="77777777" w:rsidR="00BA3640" w:rsidRPr="00A31829" w:rsidRDefault="00BA3640">
            <w:pPr>
              <w:rPr>
                <w:sz w:val="1"/>
                <w:szCs w:val="1"/>
              </w:rPr>
            </w:pPr>
          </w:p>
        </w:tc>
      </w:tr>
      <w:tr w:rsidR="00BA3640" w:rsidRPr="00A31829" w14:paraId="686C1C48" w14:textId="77777777">
        <w:trPr>
          <w:trHeight w:val="393"/>
        </w:trPr>
        <w:tc>
          <w:tcPr>
            <w:tcW w:w="100" w:type="dxa"/>
            <w:shd w:val="clear" w:color="auto" w:fill="664E82"/>
            <w:vAlign w:val="bottom"/>
          </w:tcPr>
          <w:p w14:paraId="132B466B" w14:textId="77777777" w:rsidR="00BA3640" w:rsidRPr="00A31829" w:rsidRDefault="00BA3640">
            <w:pPr>
              <w:rPr>
                <w:sz w:val="24"/>
                <w:szCs w:val="24"/>
              </w:rPr>
            </w:pPr>
          </w:p>
        </w:tc>
        <w:tc>
          <w:tcPr>
            <w:tcW w:w="4140" w:type="dxa"/>
            <w:shd w:val="clear" w:color="auto" w:fill="664E82"/>
            <w:vAlign w:val="bottom"/>
          </w:tcPr>
          <w:p w14:paraId="7E392F37" w14:textId="77777777" w:rsidR="00BA3640" w:rsidRPr="00A31829" w:rsidRDefault="00BA3640">
            <w:pPr>
              <w:rPr>
                <w:sz w:val="24"/>
                <w:szCs w:val="24"/>
              </w:rPr>
            </w:pPr>
          </w:p>
        </w:tc>
        <w:tc>
          <w:tcPr>
            <w:tcW w:w="20" w:type="dxa"/>
            <w:vAlign w:val="bottom"/>
          </w:tcPr>
          <w:p w14:paraId="72D54198" w14:textId="77777777" w:rsidR="00BA3640" w:rsidRPr="00A31829" w:rsidRDefault="00BA3640">
            <w:pPr>
              <w:rPr>
                <w:sz w:val="24"/>
                <w:szCs w:val="24"/>
              </w:rPr>
            </w:pPr>
          </w:p>
        </w:tc>
        <w:tc>
          <w:tcPr>
            <w:tcW w:w="390" w:type="dxa"/>
            <w:shd w:val="clear" w:color="auto" w:fill="664E82"/>
            <w:vAlign w:val="bottom"/>
          </w:tcPr>
          <w:p w14:paraId="7A4264B8" w14:textId="77777777" w:rsidR="00BA3640" w:rsidRPr="00A31829" w:rsidRDefault="00BA3640">
            <w:pPr>
              <w:rPr>
                <w:sz w:val="24"/>
                <w:szCs w:val="24"/>
              </w:rPr>
            </w:pPr>
          </w:p>
        </w:tc>
        <w:tc>
          <w:tcPr>
            <w:tcW w:w="3910" w:type="dxa"/>
            <w:shd w:val="clear" w:color="auto" w:fill="664E82"/>
            <w:vAlign w:val="bottom"/>
          </w:tcPr>
          <w:p w14:paraId="601ED476" w14:textId="77777777" w:rsidR="00BA3640" w:rsidRPr="00A31829" w:rsidRDefault="00AD5C60">
            <w:pPr>
              <w:ind w:left="1270"/>
              <w:rPr>
                <w:sz w:val="20"/>
                <w:szCs w:val="20"/>
              </w:rPr>
            </w:pPr>
            <w:r w:rsidRPr="00A31829">
              <w:rPr>
                <w:rFonts w:eastAsia="Arial"/>
                <w:b/>
                <w:bCs/>
                <w:color w:val="FFFFFF"/>
                <w:sz w:val="23"/>
                <w:szCs w:val="23"/>
              </w:rPr>
              <w:t>peroxidase</w:t>
            </w:r>
          </w:p>
        </w:tc>
        <w:tc>
          <w:tcPr>
            <w:tcW w:w="0" w:type="dxa"/>
            <w:vAlign w:val="bottom"/>
          </w:tcPr>
          <w:p w14:paraId="19C9A92E" w14:textId="77777777" w:rsidR="00BA3640" w:rsidRPr="00A31829" w:rsidRDefault="00BA3640">
            <w:pPr>
              <w:rPr>
                <w:sz w:val="1"/>
                <w:szCs w:val="1"/>
              </w:rPr>
            </w:pPr>
          </w:p>
        </w:tc>
      </w:tr>
      <w:tr w:rsidR="00BA3640" w:rsidRPr="00A31829" w14:paraId="3457156F" w14:textId="77777777">
        <w:trPr>
          <w:trHeight w:val="102"/>
        </w:trPr>
        <w:tc>
          <w:tcPr>
            <w:tcW w:w="100" w:type="dxa"/>
            <w:shd w:val="clear" w:color="auto" w:fill="664E82"/>
            <w:vAlign w:val="bottom"/>
          </w:tcPr>
          <w:p w14:paraId="1685D671" w14:textId="77777777" w:rsidR="00BA3640" w:rsidRPr="00A31829" w:rsidRDefault="00BA3640">
            <w:pPr>
              <w:rPr>
                <w:sz w:val="8"/>
                <w:szCs w:val="8"/>
              </w:rPr>
            </w:pPr>
          </w:p>
        </w:tc>
        <w:tc>
          <w:tcPr>
            <w:tcW w:w="4140" w:type="dxa"/>
            <w:shd w:val="clear" w:color="auto" w:fill="664E82"/>
            <w:vAlign w:val="bottom"/>
          </w:tcPr>
          <w:p w14:paraId="27807030" w14:textId="77777777" w:rsidR="00BA3640" w:rsidRPr="00A31829" w:rsidRDefault="00BA3640">
            <w:pPr>
              <w:rPr>
                <w:sz w:val="8"/>
                <w:szCs w:val="8"/>
              </w:rPr>
            </w:pPr>
          </w:p>
        </w:tc>
        <w:tc>
          <w:tcPr>
            <w:tcW w:w="20" w:type="dxa"/>
            <w:vAlign w:val="bottom"/>
          </w:tcPr>
          <w:p w14:paraId="055CB1B1" w14:textId="77777777" w:rsidR="00BA3640" w:rsidRPr="00A31829" w:rsidRDefault="00BA3640">
            <w:pPr>
              <w:rPr>
                <w:sz w:val="8"/>
                <w:szCs w:val="8"/>
              </w:rPr>
            </w:pPr>
          </w:p>
        </w:tc>
        <w:tc>
          <w:tcPr>
            <w:tcW w:w="390" w:type="dxa"/>
            <w:shd w:val="clear" w:color="auto" w:fill="664E82"/>
            <w:vAlign w:val="bottom"/>
          </w:tcPr>
          <w:p w14:paraId="50197505" w14:textId="77777777" w:rsidR="00BA3640" w:rsidRPr="00A31829" w:rsidRDefault="00BA3640">
            <w:pPr>
              <w:rPr>
                <w:sz w:val="8"/>
                <w:szCs w:val="8"/>
              </w:rPr>
            </w:pPr>
          </w:p>
        </w:tc>
        <w:tc>
          <w:tcPr>
            <w:tcW w:w="3910" w:type="dxa"/>
            <w:shd w:val="clear" w:color="auto" w:fill="664E82"/>
            <w:vAlign w:val="bottom"/>
          </w:tcPr>
          <w:p w14:paraId="7BAB109D" w14:textId="77777777" w:rsidR="00BA3640" w:rsidRPr="00A31829" w:rsidRDefault="00BA3640">
            <w:pPr>
              <w:rPr>
                <w:sz w:val="8"/>
                <w:szCs w:val="8"/>
              </w:rPr>
            </w:pPr>
          </w:p>
        </w:tc>
        <w:tc>
          <w:tcPr>
            <w:tcW w:w="0" w:type="dxa"/>
            <w:vAlign w:val="bottom"/>
          </w:tcPr>
          <w:p w14:paraId="6CA94208" w14:textId="77777777" w:rsidR="00BA3640" w:rsidRPr="00A31829" w:rsidRDefault="00BA3640">
            <w:pPr>
              <w:rPr>
                <w:sz w:val="1"/>
                <w:szCs w:val="1"/>
              </w:rPr>
            </w:pPr>
          </w:p>
        </w:tc>
      </w:tr>
      <w:tr w:rsidR="00BA3640" w:rsidRPr="00A31829" w14:paraId="37524214" w14:textId="77777777">
        <w:trPr>
          <w:trHeight w:val="29"/>
        </w:trPr>
        <w:tc>
          <w:tcPr>
            <w:tcW w:w="4240" w:type="dxa"/>
            <w:gridSpan w:val="2"/>
            <w:tcBorders>
              <w:bottom w:val="single" w:sz="8" w:space="0" w:color="EAF1DD"/>
            </w:tcBorders>
            <w:vAlign w:val="bottom"/>
          </w:tcPr>
          <w:p w14:paraId="0BDE05CA" w14:textId="77777777" w:rsidR="00BA3640" w:rsidRPr="00A31829" w:rsidRDefault="00BA3640">
            <w:pPr>
              <w:rPr>
                <w:sz w:val="2"/>
                <w:szCs w:val="2"/>
              </w:rPr>
            </w:pPr>
          </w:p>
        </w:tc>
        <w:tc>
          <w:tcPr>
            <w:tcW w:w="20" w:type="dxa"/>
            <w:tcBorders>
              <w:bottom w:val="single" w:sz="8" w:space="0" w:color="EAF1DD"/>
            </w:tcBorders>
            <w:vAlign w:val="bottom"/>
          </w:tcPr>
          <w:p w14:paraId="5F90CE47" w14:textId="77777777" w:rsidR="00BA3640" w:rsidRPr="00A31829" w:rsidRDefault="00BA3640">
            <w:pPr>
              <w:rPr>
                <w:sz w:val="2"/>
                <w:szCs w:val="2"/>
              </w:rPr>
            </w:pPr>
          </w:p>
        </w:tc>
        <w:tc>
          <w:tcPr>
            <w:tcW w:w="390" w:type="dxa"/>
            <w:tcBorders>
              <w:bottom w:val="single" w:sz="8" w:space="0" w:color="EAF1DD"/>
            </w:tcBorders>
            <w:vAlign w:val="bottom"/>
          </w:tcPr>
          <w:p w14:paraId="514666F6" w14:textId="77777777" w:rsidR="00BA3640" w:rsidRPr="00A31829" w:rsidRDefault="00BA3640">
            <w:pPr>
              <w:rPr>
                <w:sz w:val="2"/>
                <w:szCs w:val="2"/>
              </w:rPr>
            </w:pPr>
          </w:p>
        </w:tc>
        <w:tc>
          <w:tcPr>
            <w:tcW w:w="3910" w:type="dxa"/>
            <w:tcBorders>
              <w:bottom w:val="single" w:sz="8" w:space="0" w:color="EAF1DD"/>
            </w:tcBorders>
            <w:vAlign w:val="bottom"/>
          </w:tcPr>
          <w:p w14:paraId="14E8DE29" w14:textId="77777777" w:rsidR="00BA3640" w:rsidRPr="00A31829" w:rsidRDefault="00BA3640">
            <w:pPr>
              <w:rPr>
                <w:sz w:val="2"/>
                <w:szCs w:val="2"/>
              </w:rPr>
            </w:pPr>
          </w:p>
        </w:tc>
        <w:tc>
          <w:tcPr>
            <w:tcW w:w="0" w:type="dxa"/>
            <w:vAlign w:val="bottom"/>
          </w:tcPr>
          <w:p w14:paraId="449F88DC" w14:textId="77777777" w:rsidR="00BA3640" w:rsidRPr="00A31829" w:rsidRDefault="00BA3640">
            <w:pPr>
              <w:rPr>
                <w:sz w:val="1"/>
                <w:szCs w:val="1"/>
              </w:rPr>
            </w:pPr>
          </w:p>
        </w:tc>
      </w:tr>
      <w:tr w:rsidR="00BA3640" w:rsidRPr="00A31829" w14:paraId="6BCE11DD" w14:textId="77777777">
        <w:trPr>
          <w:trHeight w:val="314"/>
        </w:trPr>
        <w:tc>
          <w:tcPr>
            <w:tcW w:w="100" w:type="dxa"/>
            <w:shd w:val="clear" w:color="auto" w:fill="EAF1DD"/>
            <w:vAlign w:val="bottom"/>
          </w:tcPr>
          <w:p w14:paraId="69BDD127" w14:textId="77777777" w:rsidR="00BA3640" w:rsidRPr="00A31829" w:rsidRDefault="00BA3640"/>
        </w:tc>
        <w:tc>
          <w:tcPr>
            <w:tcW w:w="4140" w:type="dxa"/>
            <w:shd w:val="clear" w:color="auto" w:fill="EAF1DD"/>
            <w:vAlign w:val="bottom"/>
          </w:tcPr>
          <w:p w14:paraId="320DC7D8" w14:textId="77777777" w:rsidR="00BA3640" w:rsidRPr="00A31829" w:rsidRDefault="00AD5C60">
            <w:r w:rsidRPr="00A31829">
              <w:rPr>
                <w:rFonts w:eastAsia="Arial"/>
                <w:b/>
                <w:bCs/>
                <w:i/>
                <w:iCs/>
              </w:rPr>
              <w:t>Thyrotoxicosis</w:t>
            </w:r>
          </w:p>
        </w:tc>
        <w:tc>
          <w:tcPr>
            <w:tcW w:w="20" w:type="dxa"/>
            <w:shd w:val="clear" w:color="auto" w:fill="EAF1DD"/>
            <w:vAlign w:val="bottom"/>
          </w:tcPr>
          <w:p w14:paraId="55B87AEA" w14:textId="77777777" w:rsidR="00BA3640" w:rsidRPr="00A31829" w:rsidRDefault="00BA3640"/>
        </w:tc>
        <w:tc>
          <w:tcPr>
            <w:tcW w:w="390" w:type="dxa"/>
            <w:shd w:val="clear" w:color="auto" w:fill="EAF1DD"/>
            <w:vAlign w:val="bottom"/>
          </w:tcPr>
          <w:p w14:paraId="21504DDC" w14:textId="77777777" w:rsidR="00BA3640" w:rsidRPr="00A31829" w:rsidRDefault="00BA3640"/>
        </w:tc>
        <w:tc>
          <w:tcPr>
            <w:tcW w:w="3910" w:type="dxa"/>
            <w:shd w:val="clear" w:color="auto" w:fill="EAF1DD"/>
            <w:vAlign w:val="bottom"/>
          </w:tcPr>
          <w:p w14:paraId="20C7A526" w14:textId="77777777" w:rsidR="00BA3640" w:rsidRPr="00A31829" w:rsidRDefault="00BA3640"/>
        </w:tc>
        <w:tc>
          <w:tcPr>
            <w:tcW w:w="0" w:type="dxa"/>
            <w:vAlign w:val="bottom"/>
          </w:tcPr>
          <w:p w14:paraId="26176D6F" w14:textId="77777777" w:rsidR="00BA3640" w:rsidRPr="00A31829" w:rsidRDefault="00BA3640"/>
        </w:tc>
      </w:tr>
      <w:tr w:rsidR="00BA3640" w:rsidRPr="00A31829" w14:paraId="437AAD0C" w14:textId="77777777">
        <w:trPr>
          <w:trHeight w:val="81"/>
        </w:trPr>
        <w:tc>
          <w:tcPr>
            <w:tcW w:w="100" w:type="dxa"/>
            <w:shd w:val="clear" w:color="auto" w:fill="EAF1DD"/>
            <w:vAlign w:val="bottom"/>
          </w:tcPr>
          <w:p w14:paraId="5B90439E" w14:textId="77777777" w:rsidR="00BA3640" w:rsidRPr="00A31829" w:rsidRDefault="00BA3640"/>
        </w:tc>
        <w:tc>
          <w:tcPr>
            <w:tcW w:w="4140" w:type="dxa"/>
            <w:shd w:val="clear" w:color="auto" w:fill="EAF1DD"/>
            <w:vAlign w:val="bottom"/>
          </w:tcPr>
          <w:p w14:paraId="487EF9D0" w14:textId="77777777" w:rsidR="00BA3640" w:rsidRPr="00A31829" w:rsidRDefault="00BA3640"/>
        </w:tc>
        <w:tc>
          <w:tcPr>
            <w:tcW w:w="20" w:type="dxa"/>
            <w:shd w:val="clear" w:color="auto" w:fill="EAF1DD"/>
            <w:vAlign w:val="bottom"/>
          </w:tcPr>
          <w:p w14:paraId="4A426C3D" w14:textId="77777777" w:rsidR="00BA3640" w:rsidRPr="00A31829" w:rsidRDefault="00BA3640"/>
        </w:tc>
        <w:tc>
          <w:tcPr>
            <w:tcW w:w="390" w:type="dxa"/>
            <w:shd w:val="clear" w:color="auto" w:fill="EAF1DD"/>
            <w:vAlign w:val="bottom"/>
          </w:tcPr>
          <w:p w14:paraId="713F4B88" w14:textId="77777777" w:rsidR="00BA3640" w:rsidRPr="00A31829" w:rsidRDefault="00BA3640"/>
        </w:tc>
        <w:tc>
          <w:tcPr>
            <w:tcW w:w="3910" w:type="dxa"/>
            <w:shd w:val="clear" w:color="auto" w:fill="EAF1DD"/>
            <w:vAlign w:val="bottom"/>
          </w:tcPr>
          <w:p w14:paraId="24418569" w14:textId="77777777" w:rsidR="00BA3640" w:rsidRPr="00A31829" w:rsidRDefault="00BA3640"/>
        </w:tc>
        <w:tc>
          <w:tcPr>
            <w:tcW w:w="0" w:type="dxa"/>
            <w:vAlign w:val="bottom"/>
          </w:tcPr>
          <w:p w14:paraId="00A7E14B" w14:textId="77777777" w:rsidR="00BA3640" w:rsidRPr="00A31829" w:rsidRDefault="00BA3640"/>
        </w:tc>
      </w:tr>
      <w:tr w:rsidR="00BA3640" w:rsidRPr="00A31829" w14:paraId="5DAD6CF5" w14:textId="77777777">
        <w:trPr>
          <w:trHeight w:val="334"/>
        </w:trPr>
        <w:tc>
          <w:tcPr>
            <w:tcW w:w="100" w:type="dxa"/>
            <w:shd w:val="clear" w:color="auto" w:fill="F5F8EE"/>
            <w:vAlign w:val="bottom"/>
          </w:tcPr>
          <w:p w14:paraId="544D850B" w14:textId="77777777" w:rsidR="00BA3640" w:rsidRPr="00A31829" w:rsidRDefault="00BA3640"/>
        </w:tc>
        <w:tc>
          <w:tcPr>
            <w:tcW w:w="4140" w:type="dxa"/>
            <w:shd w:val="clear" w:color="auto" w:fill="F5F8EE"/>
            <w:vAlign w:val="bottom"/>
          </w:tcPr>
          <w:p w14:paraId="3CF5DA94" w14:textId="77777777" w:rsidR="00BA3640" w:rsidRPr="00A31829" w:rsidRDefault="00AD5C60">
            <w:r w:rsidRPr="00A31829">
              <w:rPr>
                <w:rFonts w:eastAsia="Arial"/>
                <w:b/>
                <w:bCs/>
              </w:rPr>
              <w:t>Graves' disease</w:t>
            </w:r>
          </w:p>
        </w:tc>
        <w:tc>
          <w:tcPr>
            <w:tcW w:w="20" w:type="dxa"/>
            <w:vAlign w:val="bottom"/>
          </w:tcPr>
          <w:p w14:paraId="3ECF229A" w14:textId="77777777" w:rsidR="00BA3640" w:rsidRPr="00A31829" w:rsidRDefault="00BA3640"/>
        </w:tc>
        <w:tc>
          <w:tcPr>
            <w:tcW w:w="390" w:type="dxa"/>
            <w:shd w:val="clear" w:color="auto" w:fill="F5F8EE"/>
            <w:vAlign w:val="bottom"/>
          </w:tcPr>
          <w:p w14:paraId="2B6F48AF" w14:textId="77777777" w:rsidR="00BA3640" w:rsidRPr="00A31829" w:rsidRDefault="00BA3640"/>
        </w:tc>
        <w:tc>
          <w:tcPr>
            <w:tcW w:w="3910" w:type="dxa"/>
            <w:shd w:val="clear" w:color="auto" w:fill="F5F8EE"/>
            <w:vAlign w:val="bottom"/>
          </w:tcPr>
          <w:p w14:paraId="67443A23" w14:textId="77777777" w:rsidR="00BA3640" w:rsidRPr="00A31829" w:rsidRDefault="00AD5C60">
            <w:pPr>
              <w:ind w:left="50"/>
            </w:pPr>
            <w:r w:rsidRPr="00A31829">
              <w:rPr>
                <w:rFonts w:eastAsia="Arial"/>
                <w:b/>
                <w:bCs/>
              </w:rPr>
              <w:t>Positive (low titer)</w:t>
            </w:r>
          </w:p>
        </w:tc>
        <w:tc>
          <w:tcPr>
            <w:tcW w:w="0" w:type="dxa"/>
            <w:vAlign w:val="bottom"/>
          </w:tcPr>
          <w:p w14:paraId="3F774561" w14:textId="77777777" w:rsidR="00BA3640" w:rsidRPr="00A31829" w:rsidRDefault="00BA3640"/>
        </w:tc>
      </w:tr>
      <w:tr w:rsidR="00BA3640" w:rsidRPr="00A31829" w14:paraId="732BB359" w14:textId="77777777">
        <w:trPr>
          <w:trHeight w:val="81"/>
        </w:trPr>
        <w:tc>
          <w:tcPr>
            <w:tcW w:w="100" w:type="dxa"/>
            <w:shd w:val="clear" w:color="auto" w:fill="F5F8EE"/>
            <w:vAlign w:val="bottom"/>
          </w:tcPr>
          <w:p w14:paraId="6139E139" w14:textId="77777777" w:rsidR="00BA3640" w:rsidRPr="00A31829" w:rsidRDefault="00BA3640"/>
        </w:tc>
        <w:tc>
          <w:tcPr>
            <w:tcW w:w="4140" w:type="dxa"/>
            <w:shd w:val="clear" w:color="auto" w:fill="F5F8EE"/>
            <w:vAlign w:val="bottom"/>
          </w:tcPr>
          <w:p w14:paraId="048228F8" w14:textId="77777777" w:rsidR="00BA3640" w:rsidRPr="00A31829" w:rsidRDefault="00BA3640"/>
        </w:tc>
        <w:tc>
          <w:tcPr>
            <w:tcW w:w="20" w:type="dxa"/>
            <w:vAlign w:val="bottom"/>
          </w:tcPr>
          <w:p w14:paraId="106A5CBB" w14:textId="77777777" w:rsidR="00BA3640" w:rsidRPr="00A31829" w:rsidRDefault="00BA3640"/>
        </w:tc>
        <w:tc>
          <w:tcPr>
            <w:tcW w:w="390" w:type="dxa"/>
            <w:shd w:val="clear" w:color="auto" w:fill="F5F8EE"/>
            <w:vAlign w:val="bottom"/>
          </w:tcPr>
          <w:p w14:paraId="5B7432F8" w14:textId="77777777" w:rsidR="00BA3640" w:rsidRPr="00A31829" w:rsidRDefault="00BA3640"/>
        </w:tc>
        <w:tc>
          <w:tcPr>
            <w:tcW w:w="3910" w:type="dxa"/>
            <w:shd w:val="clear" w:color="auto" w:fill="F5F8EE"/>
            <w:vAlign w:val="bottom"/>
          </w:tcPr>
          <w:p w14:paraId="13D44769" w14:textId="77777777" w:rsidR="00BA3640" w:rsidRPr="00A31829" w:rsidRDefault="00BA3640"/>
        </w:tc>
        <w:tc>
          <w:tcPr>
            <w:tcW w:w="0" w:type="dxa"/>
            <w:vAlign w:val="bottom"/>
          </w:tcPr>
          <w:p w14:paraId="51C44F86" w14:textId="77777777" w:rsidR="00BA3640" w:rsidRPr="00A31829" w:rsidRDefault="00BA3640"/>
        </w:tc>
      </w:tr>
      <w:tr w:rsidR="00BA3640" w:rsidRPr="00A31829" w14:paraId="22101363" w14:textId="77777777">
        <w:trPr>
          <w:trHeight w:val="334"/>
        </w:trPr>
        <w:tc>
          <w:tcPr>
            <w:tcW w:w="100" w:type="dxa"/>
            <w:shd w:val="clear" w:color="auto" w:fill="EAF1DD"/>
            <w:vAlign w:val="bottom"/>
          </w:tcPr>
          <w:p w14:paraId="6E8C5E35" w14:textId="77777777" w:rsidR="00BA3640" w:rsidRPr="00A31829" w:rsidRDefault="00BA3640"/>
        </w:tc>
        <w:tc>
          <w:tcPr>
            <w:tcW w:w="4140" w:type="dxa"/>
            <w:shd w:val="clear" w:color="auto" w:fill="EAF1DD"/>
            <w:vAlign w:val="bottom"/>
          </w:tcPr>
          <w:p w14:paraId="1A070148" w14:textId="77777777" w:rsidR="00BA3640" w:rsidRPr="00A31829" w:rsidRDefault="00AD5C60">
            <w:r w:rsidRPr="00A31829">
              <w:rPr>
                <w:rFonts w:eastAsia="Arial"/>
                <w:b/>
                <w:bCs/>
              </w:rPr>
              <w:t>"Hot" nodules</w:t>
            </w:r>
          </w:p>
        </w:tc>
        <w:tc>
          <w:tcPr>
            <w:tcW w:w="20" w:type="dxa"/>
            <w:vAlign w:val="bottom"/>
          </w:tcPr>
          <w:p w14:paraId="19C8DB89" w14:textId="77777777" w:rsidR="00BA3640" w:rsidRPr="00A31829" w:rsidRDefault="00BA3640"/>
        </w:tc>
        <w:tc>
          <w:tcPr>
            <w:tcW w:w="390" w:type="dxa"/>
            <w:shd w:val="clear" w:color="auto" w:fill="EAF1DD"/>
            <w:vAlign w:val="bottom"/>
          </w:tcPr>
          <w:p w14:paraId="499AC8F9" w14:textId="77777777" w:rsidR="00BA3640" w:rsidRPr="00A31829" w:rsidRDefault="00BA3640"/>
        </w:tc>
        <w:tc>
          <w:tcPr>
            <w:tcW w:w="3910" w:type="dxa"/>
            <w:shd w:val="clear" w:color="auto" w:fill="EAF1DD"/>
            <w:vAlign w:val="bottom"/>
          </w:tcPr>
          <w:p w14:paraId="521CC6C2" w14:textId="77777777" w:rsidR="00BA3640" w:rsidRPr="00A31829" w:rsidRDefault="00AD5C60">
            <w:pPr>
              <w:ind w:left="50"/>
            </w:pPr>
            <w:r w:rsidRPr="00A31829">
              <w:rPr>
                <w:rFonts w:eastAsia="Arial"/>
                <w:b/>
                <w:bCs/>
              </w:rPr>
              <w:t>Negative</w:t>
            </w:r>
          </w:p>
        </w:tc>
        <w:tc>
          <w:tcPr>
            <w:tcW w:w="0" w:type="dxa"/>
            <w:vAlign w:val="bottom"/>
          </w:tcPr>
          <w:p w14:paraId="3501D333" w14:textId="77777777" w:rsidR="00BA3640" w:rsidRPr="00A31829" w:rsidRDefault="00BA3640"/>
        </w:tc>
      </w:tr>
      <w:tr w:rsidR="00BA3640" w:rsidRPr="00A31829" w14:paraId="7F192292" w14:textId="77777777">
        <w:trPr>
          <w:trHeight w:val="79"/>
        </w:trPr>
        <w:tc>
          <w:tcPr>
            <w:tcW w:w="100" w:type="dxa"/>
            <w:shd w:val="clear" w:color="auto" w:fill="EAF1DD"/>
            <w:vAlign w:val="bottom"/>
          </w:tcPr>
          <w:p w14:paraId="5DC477DB" w14:textId="77777777" w:rsidR="00BA3640" w:rsidRPr="00A31829" w:rsidRDefault="00BA3640"/>
        </w:tc>
        <w:tc>
          <w:tcPr>
            <w:tcW w:w="4140" w:type="dxa"/>
            <w:shd w:val="clear" w:color="auto" w:fill="EAF1DD"/>
            <w:vAlign w:val="bottom"/>
          </w:tcPr>
          <w:p w14:paraId="553703EB" w14:textId="77777777" w:rsidR="00BA3640" w:rsidRPr="00A31829" w:rsidRDefault="00BA3640"/>
        </w:tc>
        <w:tc>
          <w:tcPr>
            <w:tcW w:w="20" w:type="dxa"/>
            <w:vAlign w:val="bottom"/>
          </w:tcPr>
          <w:p w14:paraId="3A9E35C6" w14:textId="77777777" w:rsidR="00BA3640" w:rsidRPr="00A31829" w:rsidRDefault="00BA3640"/>
        </w:tc>
        <w:tc>
          <w:tcPr>
            <w:tcW w:w="390" w:type="dxa"/>
            <w:shd w:val="clear" w:color="auto" w:fill="EAF1DD"/>
            <w:vAlign w:val="bottom"/>
          </w:tcPr>
          <w:p w14:paraId="6281B9E1" w14:textId="77777777" w:rsidR="00BA3640" w:rsidRPr="00A31829" w:rsidRDefault="00BA3640"/>
        </w:tc>
        <w:tc>
          <w:tcPr>
            <w:tcW w:w="3910" w:type="dxa"/>
            <w:shd w:val="clear" w:color="auto" w:fill="EAF1DD"/>
            <w:vAlign w:val="bottom"/>
          </w:tcPr>
          <w:p w14:paraId="25C4DB7C" w14:textId="77777777" w:rsidR="00BA3640" w:rsidRPr="00A31829" w:rsidRDefault="00BA3640"/>
        </w:tc>
        <w:tc>
          <w:tcPr>
            <w:tcW w:w="0" w:type="dxa"/>
            <w:vAlign w:val="bottom"/>
          </w:tcPr>
          <w:p w14:paraId="0C24E95C" w14:textId="77777777" w:rsidR="00BA3640" w:rsidRPr="00A31829" w:rsidRDefault="00BA3640"/>
        </w:tc>
      </w:tr>
      <w:tr w:rsidR="00BA3640" w:rsidRPr="00A31829" w14:paraId="31ED74E3" w14:textId="77777777">
        <w:trPr>
          <w:trHeight w:val="334"/>
        </w:trPr>
        <w:tc>
          <w:tcPr>
            <w:tcW w:w="100" w:type="dxa"/>
            <w:shd w:val="clear" w:color="auto" w:fill="F5F8EE"/>
            <w:vAlign w:val="bottom"/>
          </w:tcPr>
          <w:p w14:paraId="02502511" w14:textId="77777777" w:rsidR="00BA3640" w:rsidRPr="00A31829" w:rsidRDefault="00BA3640"/>
        </w:tc>
        <w:tc>
          <w:tcPr>
            <w:tcW w:w="4140" w:type="dxa"/>
            <w:shd w:val="clear" w:color="auto" w:fill="F5F8EE"/>
            <w:vAlign w:val="bottom"/>
          </w:tcPr>
          <w:p w14:paraId="57AAB18D" w14:textId="77777777" w:rsidR="00BA3640" w:rsidRPr="00A31829" w:rsidRDefault="00AD5C60">
            <w:r w:rsidRPr="00A31829">
              <w:rPr>
                <w:rFonts w:eastAsia="Arial"/>
                <w:b/>
                <w:bCs/>
                <w:i/>
                <w:iCs/>
              </w:rPr>
              <w:t>Goiter</w:t>
            </w:r>
          </w:p>
        </w:tc>
        <w:tc>
          <w:tcPr>
            <w:tcW w:w="20" w:type="dxa"/>
            <w:shd w:val="clear" w:color="auto" w:fill="F5F8EE"/>
            <w:vAlign w:val="bottom"/>
          </w:tcPr>
          <w:p w14:paraId="4A6A46CA" w14:textId="77777777" w:rsidR="00BA3640" w:rsidRPr="00A31829" w:rsidRDefault="00BA3640"/>
        </w:tc>
        <w:tc>
          <w:tcPr>
            <w:tcW w:w="390" w:type="dxa"/>
            <w:shd w:val="clear" w:color="auto" w:fill="F5F8EE"/>
            <w:vAlign w:val="bottom"/>
          </w:tcPr>
          <w:p w14:paraId="6A2A98AF" w14:textId="77777777" w:rsidR="00BA3640" w:rsidRPr="00A31829" w:rsidRDefault="00BA3640"/>
        </w:tc>
        <w:tc>
          <w:tcPr>
            <w:tcW w:w="3910" w:type="dxa"/>
            <w:shd w:val="clear" w:color="auto" w:fill="F5F8EE"/>
            <w:vAlign w:val="bottom"/>
          </w:tcPr>
          <w:p w14:paraId="7F306197" w14:textId="77777777" w:rsidR="00BA3640" w:rsidRPr="00A31829" w:rsidRDefault="00BA3640"/>
        </w:tc>
        <w:tc>
          <w:tcPr>
            <w:tcW w:w="0" w:type="dxa"/>
            <w:vAlign w:val="bottom"/>
          </w:tcPr>
          <w:p w14:paraId="7E1CCCE5" w14:textId="77777777" w:rsidR="00BA3640" w:rsidRPr="00A31829" w:rsidRDefault="00BA3640"/>
        </w:tc>
      </w:tr>
      <w:tr w:rsidR="00BA3640" w:rsidRPr="00A31829" w14:paraId="62B506FC" w14:textId="77777777">
        <w:trPr>
          <w:trHeight w:val="81"/>
        </w:trPr>
        <w:tc>
          <w:tcPr>
            <w:tcW w:w="100" w:type="dxa"/>
            <w:shd w:val="clear" w:color="auto" w:fill="F5F8EE"/>
            <w:vAlign w:val="bottom"/>
          </w:tcPr>
          <w:p w14:paraId="7DAA0081" w14:textId="77777777" w:rsidR="00BA3640" w:rsidRPr="00A31829" w:rsidRDefault="00BA3640"/>
        </w:tc>
        <w:tc>
          <w:tcPr>
            <w:tcW w:w="4140" w:type="dxa"/>
            <w:shd w:val="clear" w:color="auto" w:fill="F5F8EE"/>
            <w:vAlign w:val="bottom"/>
          </w:tcPr>
          <w:p w14:paraId="7DE23F1C" w14:textId="77777777" w:rsidR="00BA3640" w:rsidRPr="00A31829" w:rsidRDefault="00BA3640"/>
        </w:tc>
        <w:tc>
          <w:tcPr>
            <w:tcW w:w="20" w:type="dxa"/>
            <w:shd w:val="clear" w:color="auto" w:fill="F5F8EE"/>
            <w:vAlign w:val="bottom"/>
          </w:tcPr>
          <w:p w14:paraId="6B9C04E3" w14:textId="77777777" w:rsidR="00BA3640" w:rsidRPr="00A31829" w:rsidRDefault="00BA3640"/>
        </w:tc>
        <w:tc>
          <w:tcPr>
            <w:tcW w:w="390" w:type="dxa"/>
            <w:shd w:val="clear" w:color="auto" w:fill="F5F8EE"/>
            <w:vAlign w:val="bottom"/>
          </w:tcPr>
          <w:p w14:paraId="5B747212" w14:textId="77777777" w:rsidR="00BA3640" w:rsidRPr="00A31829" w:rsidRDefault="00BA3640"/>
        </w:tc>
        <w:tc>
          <w:tcPr>
            <w:tcW w:w="3910" w:type="dxa"/>
            <w:shd w:val="clear" w:color="auto" w:fill="F5F8EE"/>
            <w:vAlign w:val="bottom"/>
          </w:tcPr>
          <w:p w14:paraId="1D491540" w14:textId="77777777" w:rsidR="00BA3640" w:rsidRPr="00A31829" w:rsidRDefault="00BA3640"/>
        </w:tc>
        <w:tc>
          <w:tcPr>
            <w:tcW w:w="0" w:type="dxa"/>
            <w:vAlign w:val="bottom"/>
          </w:tcPr>
          <w:p w14:paraId="17C103A1" w14:textId="77777777" w:rsidR="00BA3640" w:rsidRPr="00A31829" w:rsidRDefault="00BA3640"/>
        </w:tc>
      </w:tr>
    </w:tbl>
    <w:p w14:paraId="55D9E709" w14:textId="77777777" w:rsidR="00BA3640" w:rsidRPr="00A31829" w:rsidRDefault="00AD5C60">
      <w:pPr>
        <w:spacing w:line="20" w:lineRule="exact"/>
      </w:pPr>
      <w:r w:rsidRPr="00A31829">
        <w:rPr>
          <w:noProof/>
        </w:rPr>
        <mc:AlternateContent>
          <mc:Choice Requires="wps">
            <w:drawing>
              <wp:anchor distT="0" distB="0" distL="114300" distR="114300" simplePos="0" relativeHeight="251654656" behindDoc="1" locked="0" layoutInCell="0" allowOverlap="1" wp14:anchorId="166BF16A" wp14:editId="46192455">
                <wp:simplePos x="0" y="0"/>
                <wp:positionH relativeFrom="column">
                  <wp:posOffset>2686685</wp:posOffset>
                </wp:positionH>
                <wp:positionV relativeFrom="paragraph">
                  <wp:posOffset>-1061720</wp:posOffset>
                </wp:positionV>
                <wp:extent cx="2750185" cy="0"/>
                <wp:effectExtent l="0" t="0" r="0" b="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750185" cy="4763"/>
                        </a:xfrm>
                        <a:prstGeom prst="line">
                          <a:avLst/>
                        </a:prstGeom>
                        <a:solidFill>
                          <a:srgbClr val="FFFFFF"/>
                        </a:solidFill>
                        <a:ln w="18286">
                          <a:solidFill>
                            <a:srgbClr val="FFFFFF"/>
                          </a:solidFill>
                          <a:miter lim="800000"/>
                          <a:headEnd/>
                          <a:tailEnd/>
                        </a:ln>
                      </wps:spPr>
                      <wps:bodyPr/>
                    </wps:wsp>
                  </a:graphicData>
                </a:graphic>
              </wp:anchor>
            </w:drawing>
          </mc:Choice>
          <mc:Fallback>
            <w:pict>
              <v:line w14:anchorId="7E416FBB" id="Shape 4" o:spid="_x0000_s1026" style="position:absolute;z-index:-251661824;visibility:visible;mso-wrap-style:square;mso-wrap-distance-left:9pt;mso-wrap-distance-top:0;mso-wrap-distance-right:9pt;mso-wrap-distance-bottom:0;mso-position-horizontal:absolute;mso-position-horizontal-relative:text;mso-position-vertical:absolute;mso-position-vertical-relative:text" from="211.55pt,-83.6pt" to="428.1pt,-8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8JDpAEAAF4DAAAOAAAAZHJzL2Uyb0RvYy54bWysU8uO0zAU3SPxD5b31GlhOlHUdBYzlM0I&#10;RprhA279aCz8kq9p0r/HdtrCwAYhvLB8Hz655/hkczdZQ44yovaup8tFQ4l03AvtDj39+rJ711KC&#10;CZwA453s6Ukivdu+fbMZQydXfvBGyEgyiMNuDD0dUgodY8gHaQEXPkiXi8pHCymH8cBEhDGjW8NW&#10;TbNmo48iRM8lYs4+zEW6rfhKSZ6+KIUyEdPTPFuqe6z7vuxsu4HuECEMmp/HgH+YwoJ2+aNXqAdI&#10;QL5H/QeU1Tx69CotuLfMK6W5rBwym2XzG5vnAYKsXLI4GK4y4f+D5Z+P9+4pltH55J7Do+ffMIvC&#10;xoDdtVgCDHPbpKIt7Xl2MlUhT1ch5ZQIz8nV7U2zbG8o4bn24Xb9vujMoLvcDRHTJ+ktKYeeGu0K&#10;Tejg+Ihpbr20lDR6o8VOG1ODeNjfm0iOkJ90V9cZ/VWbcWTMhmxX7bpCvyri32FYnbI5jbY9bZuy&#10;ZrsMEsRHJ6p1EmgznzM9487CzVoV1fZenJ7iRdD8iFWHs+GKS36N6+2fv8X2BwAAAP//AwBQSwME&#10;FAAGAAgAAAAhAH3cXl3gAAAADQEAAA8AAABkcnMvZG93bnJldi54bWxMj01Pg0AQhu8m/ofNmHhp&#10;2gVUWpGlISbqtbY28biwK6C7s4RdCv33jgejt/l48s4z+Xa2hp304DuHAuJVBExj7VSHjYC3w9Ny&#10;A8wHiUoah1rAWXvYFpcXucyUm/BVn/ahYRSCPpMC2hD6jHNft9pKv3K9Rtp9uMHKQO3QcDXIicKt&#10;4UkUpdzKDulCK3v92Or6az9aAYszf1GH8vP+fYrLxXPlj2O6M0JcX83lA7Cg5/AHw48+qUNBTpUb&#10;UXlmBNwmNzGhApZxuk6AEbK5S6mofke8yPn/L4pvAAAA//8DAFBLAQItABQABgAIAAAAIQC2gziS&#10;/gAAAOEBAAATAAAAAAAAAAAAAAAAAAAAAABbQ29udGVudF9UeXBlc10ueG1sUEsBAi0AFAAGAAgA&#10;AAAhADj9If/WAAAAlAEAAAsAAAAAAAAAAAAAAAAALwEAAF9yZWxzLy5yZWxzUEsBAi0AFAAGAAgA&#10;AAAhAPN/wkOkAQAAXgMAAA4AAAAAAAAAAAAAAAAALgIAAGRycy9lMm9Eb2MueG1sUEsBAi0AFAAG&#10;AAgAAAAhAH3cXl3gAAAADQEAAA8AAAAAAAAAAAAAAAAA/gMAAGRycy9kb3ducmV2LnhtbFBLBQYA&#10;AAAABAAEAPMAAAALBQAAAAA=&#10;" o:allowincell="f" filled="t" strokecolor="white" strokeweight=".50794mm">
                <v:stroke joinstyle="miter"/>
                <o:lock v:ext="edit" shapetype="f"/>
              </v:line>
            </w:pict>
          </mc:Fallback>
        </mc:AlternateContent>
      </w:r>
    </w:p>
    <w:tbl>
      <w:tblPr>
        <w:tblW w:w="0" w:type="auto"/>
        <w:tblLayout w:type="fixed"/>
        <w:tblCellMar>
          <w:left w:w="0" w:type="dxa"/>
          <w:right w:w="0" w:type="dxa"/>
        </w:tblCellMar>
        <w:tblLook w:val="04A0" w:firstRow="1" w:lastRow="0" w:firstColumn="1" w:lastColumn="0" w:noHBand="0" w:noVBand="1"/>
      </w:tblPr>
      <w:tblGrid>
        <w:gridCol w:w="1940"/>
        <w:gridCol w:w="2300"/>
        <w:gridCol w:w="20"/>
        <w:gridCol w:w="4300"/>
        <w:gridCol w:w="20"/>
      </w:tblGrid>
      <w:tr w:rsidR="00BA3640" w:rsidRPr="00A31829" w14:paraId="7AB04DE8" w14:textId="77777777" w:rsidTr="00A31829">
        <w:trPr>
          <w:trHeight w:val="22"/>
        </w:trPr>
        <w:tc>
          <w:tcPr>
            <w:tcW w:w="4240" w:type="dxa"/>
            <w:gridSpan w:val="2"/>
            <w:vAlign w:val="bottom"/>
          </w:tcPr>
          <w:p w14:paraId="2A58F643" w14:textId="77777777" w:rsidR="00BA3640" w:rsidRPr="00A31829" w:rsidRDefault="00BA3640">
            <w:pPr>
              <w:spacing w:line="20" w:lineRule="exact"/>
            </w:pPr>
            <w:bookmarkStart w:id="1" w:name="page3"/>
            <w:bookmarkEnd w:id="1"/>
          </w:p>
        </w:tc>
        <w:tc>
          <w:tcPr>
            <w:tcW w:w="20" w:type="dxa"/>
            <w:vMerge w:val="restart"/>
            <w:vAlign w:val="bottom"/>
          </w:tcPr>
          <w:p w14:paraId="31EC275B" w14:textId="77777777" w:rsidR="00BA3640" w:rsidRPr="00A31829" w:rsidRDefault="00BA3640">
            <w:pPr>
              <w:spacing w:line="20" w:lineRule="exact"/>
            </w:pPr>
          </w:p>
        </w:tc>
        <w:tc>
          <w:tcPr>
            <w:tcW w:w="4300" w:type="dxa"/>
            <w:vAlign w:val="bottom"/>
          </w:tcPr>
          <w:p w14:paraId="4BAE9EAE" w14:textId="77777777" w:rsidR="00BA3640" w:rsidRPr="00A31829" w:rsidRDefault="00BA3640">
            <w:pPr>
              <w:spacing w:line="20" w:lineRule="exact"/>
            </w:pPr>
          </w:p>
        </w:tc>
        <w:tc>
          <w:tcPr>
            <w:tcW w:w="20" w:type="dxa"/>
            <w:vAlign w:val="bottom"/>
          </w:tcPr>
          <w:p w14:paraId="050A6423" w14:textId="77777777" w:rsidR="00BA3640" w:rsidRPr="00A31829" w:rsidRDefault="00BA3640">
            <w:pPr>
              <w:spacing w:line="20" w:lineRule="exact"/>
            </w:pPr>
          </w:p>
        </w:tc>
      </w:tr>
      <w:tr w:rsidR="00BA3640" w:rsidRPr="00A31829" w14:paraId="30D82803" w14:textId="77777777" w:rsidTr="00A31829">
        <w:trPr>
          <w:trHeight w:val="334"/>
        </w:trPr>
        <w:tc>
          <w:tcPr>
            <w:tcW w:w="4240" w:type="dxa"/>
            <w:gridSpan w:val="2"/>
            <w:shd w:val="clear" w:color="auto" w:fill="EAF1DD"/>
            <w:vAlign w:val="bottom"/>
          </w:tcPr>
          <w:p w14:paraId="58A9AA27" w14:textId="77777777" w:rsidR="00BA3640" w:rsidRPr="00A31829" w:rsidRDefault="00AD5C60">
            <w:pPr>
              <w:ind w:left="100"/>
            </w:pPr>
            <w:r w:rsidRPr="00A31829">
              <w:rPr>
                <w:rFonts w:eastAsia="Arial"/>
                <w:b/>
                <w:bCs/>
              </w:rPr>
              <w:t>Hashimoto thyroiditis</w:t>
            </w:r>
          </w:p>
        </w:tc>
        <w:tc>
          <w:tcPr>
            <w:tcW w:w="20" w:type="dxa"/>
            <w:vMerge/>
            <w:vAlign w:val="bottom"/>
          </w:tcPr>
          <w:p w14:paraId="7FF17128" w14:textId="77777777" w:rsidR="00BA3640" w:rsidRPr="00A31829" w:rsidRDefault="00BA3640"/>
        </w:tc>
        <w:tc>
          <w:tcPr>
            <w:tcW w:w="4300" w:type="dxa"/>
            <w:shd w:val="clear" w:color="auto" w:fill="EAF1DD"/>
            <w:vAlign w:val="bottom"/>
          </w:tcPr>
          <w:p w14:paraId="6C8F074F" w14:textId="77777777" w:rsidR="00BA3640" w:rsidRPr="00A31829" w:rsidRDefault="00AD5C60">
            <w:pPr>
              <w:ind w:left="440"/>
            </w:pPr>
            <w:r w:rsidRPr="00A31829">
              <w:rPr>
                <w:rFonts w:eastAsia="Arial"/>
                <w:b/>
                <w:bCs/>
              </w:rPr>
              <w:t>Positive (high titer)</w:t>
            </w:r>
          </w:p>
        </w:tc>
        <w:tc>
          <w:tcPr>
            <w:tcW w:w="20" w:type="dxa"/>
            <w:vAlign w:val="bottom"/>
          </w:tcPr>
          <w:p w14:paraId="46186499" w14:textId="77777777" w:rsidR="00BA3640" w:rsidRPr="00A31829" w:rsidRDefault="00BA3640"/>
        </w:tc>
      </w:tr>
      <w:tr w:rsidR="00BA3640" w:rsidRPr="00A31829" w14:paraId="1F3BDFF2" w14:textId="77777777" w:rsidTr="00A31829">
        <w:trPr>
          <w:trHeight w:val="79"/>
        </w:trPr>
        <w:tc>
          <w:tcPr>
            <w:tcW w:w="1940" w:type="dxa"/>
            <w:shd w:val="clear" w:color="auto" w:fill="EAF1DD"/>
            <w:vAlign w:val="bottom"/>
          </w:tcPr>
          <w:p w14:paraId="6F83BA2D" w14:textId="77777777" w:rsidR="00BA3640" w:rsidRPr="00A31829" w:rsidRDefault="00BA3640"/>
        </w:tc>
        <w:tc>
          <w:tcPr>
            <w:tcW w:w="2300" w:type="dxa"/>
            <w:shd w:val="clear" w:color="auto" w:fill="EAF1DD"/>
            <w:vAlign w:val="bottom"/>
          </w:tcPr>
          <w:p w14:paraId="2B8A4E4E" w14:textId="77777777" w:rsidR="00BA3640" w:rsidRPr="00A31829" w:rsidRDefault="00BA3640"/>
        </w:tc>
        <w:tc>
          <w:tcPr>
            <w:tcW w:w="20" w:type="dxa"/>
            <w:vMerge w:val="restart"/>
            <w:vAlign w:val="bottom"/>
          </w:tcPr>
          <w:p w14:paraId="73EAC6D9" w14:textId="77777777" w:rsidR="00BA3640" w:rsidRPr="00A31829" w:rsidRDefault="00BA3640"/>
        </w:tc>
        <w:tc>
          <w:tcPr>
            <w:tcW w:w="4300" w:type="dxa"/>
            <w:shd w:val="clear" w:color="auto" w:fill="EAF1DD"/>
            <w:vAlign w:val="bottom"/>
          </w:tcPr>
          <w:p w14:paraId="10DB5BBC" w14:textId="77777777" w:rsidR="00BA3640" w:rsidRPr="00A31829" w:rsidRDefault="00BA3640"/>
        </w:tc>
        <w:tc>
          <w:tcPr>
            <w:tcW w:w="20" w:type="dxa"/>
            <w:vAlign w:val="bottom"/>
          </w:tcPr>
          <w:p w14:paraId="4A5AFA29" w14:textId="77777777" w:rsidR="00BA3640" w:rsidRPr="00A31829" w:rsidRDefault="00BA3640"/>
        </w:tc>
      </w:tr>
      <w:tr w:rsidR="00BA3640" w:rsidRPr="00A31829" w14:paraId="2D6389F6" w14:textId="77777777" w:rsidTr="00A31829">
        <w:trPr>
          <w:trHeight w:val="334"/>
        </w:trPr>
        <w:tc>
          <w:tcPr>
            <w:tcW w:w="1940" w:type="dxa"/>
            <w:shd w:val="clear" w:color="auto" w:fill="F5F8EE"/>
            <w:vAlign w:val="bottom"/>
          </w:tcPr>
          <w:p w14:paraId="570B13B7" w14:textId="77777777" w:rsidR="00BA3640" w:rsidRPr="00A31829" w:rsidRDefault="00AD5C60">
            <w:pPr>
              <w:ind w:left="100"/>
            </w:pPr>
            <w:r w:rsidRPr="00A31829">
              <w:rPr>
                <w:rFonts w:eastAsia="Arial"/>
                <w:b/>
                <w:bCs/>
              </w:rPr>
              <w:t>Simple goitre</w:t>
            </w:r>
          </w:p>
        </w:tc>
        <w:tc>
          <w:tcPr>
            <w:tcW w:w="2300" w:type="dxa"/>
            <w:shd w:val="clear" w:color="auto" w:fill="F5F8EE"/>
            <w:vAlign w:val="bottom"/>
          </w:tcPr>
          <w:p w14:paraId="5F003449" w14:textId="77777777" w:rsidR="00BA3640" w:rsidRPr="00A31829" w:rsidRDefault="00BA3640"/>
        </w:tc>
        <w:tc>
          <w:tcPr>
            <w:tcW w:w="20" w:type="dxa"/>
            <w:vMerge/>
            <w:vAlign w:val="bottom"/>
          </w:tcPr>
          <w:p w14:paraId="25E2C86F" w14:textId="77777777" w:rsidR="00BA3640" w:rsidRPr="00A31829" w:rsidRDefault="00BA3640"/>
        </w:tc>
        <w:tc>
          <w:tcPr>
            <w:tcW w:w="4300" w:type="dxa"/>
            <w:shd w:val="clear" w:color="auto" w:fill="F5F8EE"/>
            <w:vAlign w:val="bottom"/>
          </w:tcPr>
          <w:p w14:paraId="08302418" w14:textId="77777777" w:rsidR="00BA3640" w:rsidRPr="00A31829" w:rsidRDefault="00AD5C60">
            <w:pPr>
              <w:ind w:left="440"/>
            </w:pPr>
            <w:r w:rsidRPr="00A31829">
              <w:rPr>
                <w:rFonts w:eastAsia="Arial"/>
                <w:b/>
                <w:bCs/>
              </w:rPr>
              <w:t>Negative</w:t>
            </w:r>
          </w:p>
        </w:tc>
        <w:tc>
          <w:tcPr>
            <w:tcW w:w="20" w:type="dxa"/>
            <w:vAlign w:val="bottom"/>
          </w:tcPr>
          <w:p w14:paraId="39E5510F" w14:textId="77777777" w:rsidR="00BA3640" w:rsidRPr="00A31829" w:rsidRDefault="00BA3640"/>
        </w:tc>
      </w:tr>
      <w:tr w:rsidR="00BA3640" w:rsidRPr="00A31829" w14:paraId="64FC6DED" w14:textId="77777777" w:rsidTr="00A31829">
        <w:trPr>
          <w:trHeight w:val="81"/>
        </w:trPr>
        <w:tc>
          <w:tcPr>
            <w:tcW w:w="4240" w:type="dxa"/>
            <w:gridSpan w:val="2"/>
            <w:shd w:val="clear" w:color="auto" w:fill="F5F8EE"/>
            <w:vAlign w:val="bottom"/>
          </w:tcPr>
          <w:p w14:paraId="5EB07037" w14:textId="77777777" w:rsidR="00BA3640" w:rsidRPr="00A31829" w:rsidRDefault="00BA3640"/>
        </w:tc>
        <w:tc>
          <w:tcPr>
            <w:tcW w:w="20" w:type="dxa"/>
            <w:vAlign w:val="bottom"/>
          </w:tcPr>
          <w:p w14:paraId="31CDE39E" w14:textId="77777777" w:rsidR="00BA3640" w:rsidRPr="00A31829" w:rsidRDefault="00BA3640"/>
        </w:tc>
        <w:tc>
          <w:tcPr>
            <w:tcW w:w="4300" w:type="dxa"/>
            <w:shd w:val="clear" w:color="auto" w:fill="F5F8EE"/>
            <w:vAlign w:val="bottom"/>
          </w:tcPr>
          <w:p w14:paraId="42A204FB" w14:textId="77777777" w:rsidR="00BA3640" w:rsidRPr="00A31829" w:rsidRDefault="00BA3640"/>
        </w:tc>
        <w:tc>
          <w:tcPr>
            <w:tcW w:w="20" w:type="dxa"/>
            <w:vAlign w:val="bottom"/>
          </w:tcPr>
          <w:p w14:paraId="5CA5F031" w14:textId="77777777" w:rsidR="00BA3640" w:rsidRPr="00A31829" w:rsidRDefault="00BA3640"/>
        </w:tc>
      </w:tr>
      <w:tr w:rsidR="00BA3640" w:rsidRPr="00A31829" w14:paraId="15B1A67E" w14:textId="77777777" w:rsidTr="00A31829">
        <w:trPr>
          <w:trHeight w:val="319"/>
        </w:trPr>
        <w:tc>
          <w:tcPr>
            <w:tcW w:w="4240" w:type="dxa"/>
            <w:gridSpan w:val="2"/>
            <w:shd w:val="clear" w:color="auto" w:fill="EAF1DD"/>
            <w:vAlign w:val="bottom"/>
          </w:tcPr>
          <w:p w14:paraId="43120D0A" w14:textId="77777777" w:rsidR="00BA3640" w:rsidRPr="00A31829" w:rsidRDefault="00AD5C60">
            <w:pPr>
              <w:ind w:left="100"/>
            </w:pPr>
            <w:r w:rsidRPr="00A31829">
              <w:rPr>
                <w:rFonts w:eastAsia="Arial"/>
                <w:b/>
                <w:bCs/>
              </w:rPr>
              <w:t>De Quervain's thyroiditis</w:t>
            </w:r>
          </w:p>
        </w:tc>
        <w:tc>
          <w:tcPr>
            <w:tcW w:w="20" w:type="dxa"/>
            <w:vAlign w:val="bottom"/>
          </w:tcPr>
          <w:p w14:paraId="268B20B6" w14:textId="77777777" w:rsidR="00BA3640" w:rsidRPr="00A31829" w:rsidRDefault="00BA3640"/>
        </w:tc>
        <w:tc>
          <w:tcPr>
            <w:tcW w:w="4300" w:type="dxa"/>
            <w:shd w:val="clear" w:color="auto" w:fill="EAF1DD"/>
            <w:vAlign w:val="bottom"/>
          </w:tcPr>
          <w:p w14:paraId="4272A50F" w14:textId="77777777" w:rsidR="00BA3640" w:rsidRPr="00A31829" w:rsidRDefault="00AD5C60">
            <w:pPr>
              <w:ind w:left="440"/>
            </w:pPr>
            <w:r w:rsidRPr="00A31829">
              <w:rPr>
                <w:rFonts w:eastAsia="Arial"/>
                <w:b/>
                <w:bCs/>
              </w:rPr>
              <w:t>Transiently positive</w:t>
            </w:r>
          </w:p>
        </w:tc>
        <w:tc>
          <w:tcPr>
            <w:tcW w:w="20" w:type="dxa"/>
            <w:vAlign w:val="bottom"/>
          </w:tcPr>
          <w:p w14:paraId="4332FA1B" w14:textId="77777777" w:rsidR="00BA3640" w:rsidRPr="00A31829" w:rsidRDefault="00BA3640"/>
        </w:tc>
      </w:tr>
      <w:tr w:rsidR="00BA3640" w:rsidRPr="00A31829" w14:paraId="4712F416" w14:textId="77777777" w:rsidTr="00A31829">
        <w:trPr>
          <w:trHeight w:val="94"/>
        </w:trPr>
        <w:tc>
          <w:tcPr>
            <w:tcW w:w="1940" w:type="dxa"/>
            <w:shd w:val="clear" w:color="auto" w:fill="EAF1DD"/>
            <w:vAlign w:val="bottom"/>
          </w:tcPr>
          <w:p w14:paraId="5B4CEA97" w14:textId="77777777" w:rsidR="00BA3640" w:rsidRPr="00A31829" w:rsidRDefault="00BA3640"/>
        </w:tc>
        <w:tc>
          <w:tcPr>
            <w:tcW w:w="2300" w:type="dxa"/>
            <w:shd w:val="clear" w:color="auto" w:fill="EAF1DD"/>
            <w:vAlign w:val="bottom"/>
          </w:tcPr>
          <w:p w14:paraId="30D09340" w14:textId="77777777" w:rsidR="00BA3640" w:rsidRPr="00A31829" w:rsidRDefault="00BA3640"/>
        </w:tc>
        <w:tc>
          <w:tcPr>
            <w:tcW w:w="20" w:type="dxa"/>
            <w:vAlign w:val="bottom"/>
          </w:tcPr>
          <w:p w14:paraId="4CADC369" w14:textId="77777777" w:rsidR="00BA3640" w:rsidRPr="00A31829" w:rsidRDefault="00BA3640"/>
        </w:tc>
        <w:tc>
          <w:tcPr>
            <w:tcW w:w="4300" w:type="dxa"/>
            <w:shd w:val="clear" w:color="auto" w:fill="EAF1DD"/>
            <w:vAlign w:val="bottom"/>
          </w:tcPr>
          <w:p w14:paraId="412E5FB9" w14:textId="77777777" w:rsidR="00BA3640" w:rsidRPr="00A31829" w:rsidRDefault="00BA3640"/>
        </w:tc>
        <w:tc>
          <w:tcPr>
            <w:tcW w:w="20" w:type="dxa"/>
            <w:vAlign w:val="bottom"/>
          </w:tcPr>
          <w:p w14:paraId="2B1B081C" w14:textId="77777777" w:rsidR="00BA3640" w:rsidRPr="00A31829" w:rsidRDefault="00BA3640"/>
        </w:tc>
      </w:tr>
      <w:tr w:rsidR="00BA3640" w:rsidRPr="00A31829" w14:paraId="27930CB2" w14:textId="77777777" w:rsidTr="00A31829">
        <w:trPr>
          <w:trHeight w:val="334"/>
        </w:trPr>
        <w:tc>
          <w:tcPr>
            <w:tcW w:w="1940" w:type="dxa"/>
            <w:shd w:val="clear" w:color="auto" w:fill="F5F8EE"/>
            <w:vAlign w:val="bottom"/>
          </w:tcPr>
          <w:p w14:paraId="3D2AC8A2" w14:textId="77777777" w:rsidR="00BA3640" w:rsidRPr="00A31829" w:rsidRDefault="00AD5C60">
            <w:pPr>
              <w:ind w:left="100"/>
            </w:pPr>
            <w:r w:rsidRPr="00A31829">
              <w:rPr>
                <w:rFonts w:eastAsia="Arial"/>
                <w:b/>
                <w:bCs/>
              </w:rPr>
              <w:t>Cancer</w:t>
            </w:r>
          </w:p>
        </w:tc>
        <w:tc>
          <w:tcPr>
            <w:tcW w:w="2300" w:type="dxa"/>
            <w:shd w:val="clear" w:color="auto" w:fill="F5F8EE"/>
            <w:vAlign w:val="bottom"/>
          </w:tcPr>
          <w:p w14:paraId="2D5FC41F" w14:textId="77777777" w:rsidR="00BA3640" w:rsidRPr="00A31829" w:rsidRDefault="00BA3640"/>
        </w:tc>
        <w:tc>
          <w:tcPr>
            <w:tcW w:w="20" w:type="dxa"/>
            <w:vAlign w:val="bottom"/>
          </w:tcPr>
          <w:p w14:paraId="4DF3A7DC" w14:textId="77777777" w:rsidR="00BA3640" w:rsidRPr="00A31829" w:rsidRDefault="00BA3640"/>
        </w:tc>
        <w:tc>
          <w:tcPr>
            <w:tcW w:w="4300" w:type="dxa"/>
            <w:shd w:val="clear" w:color="auto" w:fill="F5F8EE"/>
            <w:vAlign w:val="bottom"/>
          </w:tcPr>
          <w:p w14:paraId="177B9185" w14:textId="77777777" w:rsidR="00BA3640" w:rsidRPr="00A31829" w:rsidRDefault="00AD5C60">
            <w:pPr>
              <w:ind w:left="440"/>
            </w:pPr>
            <w:r w:rsidRPr="00A31829">
              <w:rPr>
                <w:rFonts w:eastAsia="Arial"/>
                <w:b/>
                <w:bCs/>
              </w:rPr>
              <w:t>Negative</w:t>
            </w:r>
          </w:p>
        </w:tc>
        <w:tc>
          <w:tcPr>
            <w:tcW w:w="20" w:type="dxa"/>
            <w:vAlign w:val="bottom"/>
          </w:tcPr>
          <w:p w14:paraId="7A8A52AF" w14:textId="77777777" w:rsidR="00BA3640" w:rsidRPr="00A31829" w:rsidRDefault="00BA3640"/>
        </w:tc>
      </w:tr>
      <w:tr w:rsidR="00BA3640" w:rsidRPr="00A31829" w14:paraId="4E14EEDF" w14:textId="77777777" w:rsidTr="00A31829">
        <w:trPr>
          <w:trHeight w:val="81"/>
        </w:trPr>
        <w:tc>
          <w:tcPr>
            <w:tcW w:w="1940" w:type="dxa"/>
            <w:shd w:val="clear" w:color="auto" w:fill="F5F8EE"/>
            <w:vAlign w:val="bottom"/>
          </w:tcPr>
          <w:p w14:paraId="4F5ACBB9" w14:textId="77777777" w:rsidR="00BA3640" w:rsidRPr="00A31829" w:rsidRDefault="00BA3640">
            <w:pPr>
              <w:rPr>
                <w:sz w:val="7"/>
                <w:szCs w:val="7"/>
              </w:rPr>
            </w:pPr>
          </w:p>
        </w:tc>
        <w:tc>
          <w:tcPr>
            <w:tcW w:w="2300" w:type="dxa"/>
            <w:shd w:val="clear" w:color="auto" w:fill="F5F8EE"/>
            <w:vAlign w:val="bottom"/>
          </w:tcPr>
          <w:p w14:paraId="694667D9" w14:textId="77777777" w:rsidR="00BA3640" w:rsidRPr="00A31829" w:rsidRDefault="00BA3640">
            <w:pPr>
              <w:rPr>
                <w:sz w:val="7"/>
                <w:szCs w:val="7"/>
              </w:rPr>
            </w:pPr>
          </w:p>
        </w:tc>
        <w:tc>
          <w:tcPr>
            <w:tcW w:w="20" w:type="dxa"/>
            <w:vAlign w:val="bottom"/>
          </w:tcPr>
          <w:p w14:paraId="4D0AE266" w14:textId="77777777" w:rsidR="00BA3640" w:rsidRPr="00A31829" w:rsidRDefault="00BA3640">
            <w:pPr>
              <w:rPr>
                <w:sz w:val="7"/>
                <w:szCs w:val="7"/>
              </w:rPr>
            </w:pPr>
          </w:p>
        </w:tc>
        <w:tc>
          <w:tcPr>
            <w:tcW w:w="4300" w:type="dxa"/>
            <w:shd w:val="clear" w:color="auto" w:fill="F5F8EE"/>
            <w:vAlign w:val="bottom"/>
          </w:tcPr>
          <w:p w14:paraId="359C327B" w14:textId="77777777" w:rsidR="00BA3640" w:rsidRPr="00A31829" w:rsidRDefault="00BA3640">
            <w:pPr>
              <w:rPr>
                <w:sz w:val="7"/>
                <w:szCs w:val="7"/>
              </w:rPr>
            </w:pPr>
          </w:p>
        </w:tc>
        <w:tc>
          <w:tcPr>
            <w:tcW w:w="20" w:type="dxa"/>
            <w:vAlign w:val="bottom"/>
          </w:tcPr>
          <w:p w14:paraId="444960D7" w14:textId="77777777" w:rsidR="00BA3640" w:rsidRPr="00A31829" w:rsidRDefault="00BA3640">
            <w:pPr>
              <w:rPr>
                <w:sz w:val="1"/>
                <w:szCs w:val="1"/>
              </w:rPr>
            </w:pPr>
          </w:p>
        </w:tc>
      </w:tr>
      <w:tr w:rsidR="00BA3640" w:rsidRPr="00A31829" w14:paraId="24E0424A" w14:textId="77777777" w:rsidTr="00A31829">
        <w:trPr>
          <w:trHeight w:val="724"/>
        </w:trPr>
        <w:tc>
          <w:tcPr>
            <w:tcW w:w="1940" w:type="dxa"/>
            <w:vAlign w:val="bottom"/>
          </w:tcPr>
          <w:p w14:paraId="141CC7E4" w14:textId="77777777" w:rsidR="00BA3640" w:rsidRPr="00A31829" w:rsidRDefault="00AD5C60">
            <w:pPr>
              <w:ind w:left="1100"/>
              <w:rPr>
                <w:sz w:val="20"/>
                <w:szCs w:val="20"/>
              </w:rPr>
            </w:pPr>
            <w:r w:rsidRPr="00A31829">
              <w:rPr>
                <w:rFonts w:eastAsia="Arial"/>
                <w:b/>
                <w:bCs/>
                <w:sz w:val="20"/>
                <w:szCs w:val="20"/>
              </w:rPr>
              <w:t>1.2.1.</w:t>
            </w:r>
          </w:p>
        </w:tc>
        <w:tc>
          <w:tcPr>
            <w:tcW w:w="2300" w:type="dxa"/>
            <w:vAlign w:val="bottom"/>
          </w:tcPr>
          <w:p w14:paraId="2F2D385E" w14:textId="77777777" w:rsidR="00BA3640" w:rsidRPr="00A31829" w:rsidRDefault="00AD5C60">
            <w:pPr>
              <w:ind w:left="320"/>
              <w:rPr>
                <w:sz w:val="24"/>
                <w:szCs w:val="24"/>
              </w:rPr>
            </w:pPr>
            <w:r w:rsidRPr="00A31829">
              <w:rPr>
                <w:rFonts w:eastAsia="Arial"/>
                <w:b/>
                <w:bCs/>
                <w:sz w:val="24"/>
                <w:szCs w:val="24"/>
              </w:rPr>
              <w:t>Thyrotoxicosis</w:t>
            </w:r>
          </w:p>
        </w:tc>
        <w:tc>
          <w:tcPr>
            <w:tcW w:w="20" w:type="dxa"/>
            <w:vAlign w:val="bottom"/>
          </w:tcPr>
          <w:p w14:paraId="74D82D03" w14:textId="77777777" w:rsidR="00BA3640" w:rsidRPr="00A31829" w:rsidRDefault="00BA3640">
            <w:pPr>
              <w:rPr>
                <w:sz w:val="24"/>
                <w:szCs w:val="24"/>
              </w:rPr>
            </w:pPr>
          </w:p>
        </w:tc>
        <w:tc>
          <w:tcPr>
            <w:tcW w:w="4300" w:type="dxa"/>
            <w:vAlign w:val="bottom"/>
          </w:tcPr>
          <w:p w14:paraId="2443B524" w14:textId="77777777" w:rsidR="00BA3640" w:rsidRPr="00A31829" w:rsidRDefault="00BA3640">
            <w:pPr>
              <w:rPr>
                <w:sz w:val="24"/>
                <w:szCs w:val="24"/>
              </w:rPr>
            </w:pPr>
          </w:p>
        </w:tc>
        <w:tc>
          <w:tcPr>
            <w:tcW w:w="20" w:type="dxa"/>
            <w:vAlign w:val="bottom"/>
          </w:tcPr>
          <w:p w14:paraId="5488F307" w14:textId="77777777" w:rsidR="00BA3640" w:rsidRPr="00A31829" w:rsidRDefault="00BA3640">
            <w:pPr>
              <w:rPr>
                <w:sz w:val="1"/>
                <w:szCs w:val="1"/>
              </w:rPr>
            </w:pPr>
          </w:p>
        </w:tc>
      </w:tr>
    </w:tbl>
    <w:p w14:paraId="4A5BD631" w14:textId="77777777" w:rsidR="00BA3640" w:rsidRPr="00A31829" w:rsidRDefault="00BA3640">
      <w:pPr>
        <w:spacing w:line="200" w:lineRule="exact"/>
        <w:rPr>
          <w:sz w:val="20"/>
          <w:szCs w:val="20"/>
        </w:rPr>
      </w:pPr>
    </w:p>
    <w:p w14:paraId="4034F051" w14:textId="77777777" w:rsidR="00BA3640" w:rsidRPr="00A31829" w:rsidRDefault="00BA3640">
      <w:pPr>
        <w:spacing w:line="294" w:lineRule="exact"/>
        <w:rPr>
          <w:sz w:val="20"/>
          <w:szCs w:val="20"/>
        </w:rPr>
      </w:pPr>
    </w:p>
    <w:p w14:paraId="49F41716" w14:textId="24135BA8" w:rsidR="00BA3640" w:rsidRPr="00A31829" w:rsidRDefault="00A96524" w:rsidP="00A31829">
      <w:pPr>
        <w:spacing w:line="377" w:lineRule="auto"/>
        <w:ind w:left="100" w:right="20" w:firstLine="720"/>
        <w:jc w:val="both"/>
        <w:rPr>
          <w:sz w:val="24"/>
          <w:szCs w:val="24"/>
        </w:rPr>
      </w:pPr>
      <w:r>
        <w:rPr>
          <w:rFonts w:eastAsia="Arial"/>
          <w:sz w:val="24"/>
          <w:szCs w:val="24"/>
        </w:rPr>
        <w:t>Thyrotoxicosis is</w:t>
      </w:r>
      <w:r w:rsidR="00AD5C60" w:rsidRPr="00A31829">
        <w:rPr>
          <w:rFonts w:eastAsia="Arial"/>
          <w:sz w:val="24"/>
          <w:szCs w:val="24"/>
        </w:rPr>
        <w:t xml:space="preserve"> common and represents a hypermetabolic state that is related to excessive concentration of thyroid hormone in the blood, usually caused as a result of hyperthyroidism. It occurs in people of any age, but with the highest peak of incidence in the third or fourth decade of life. Compared to men, it occurs ten times more often in women. Thyrotoxicosis most often occurs due to Graves' disease, toxic adenoma and toxic multinodous goiter.</w:t>
      </w:r>
    </w:p>
    <w:p w14:paraId="342681A8" w14:textId="77777777" w:rsidR="00BA3640" w:rsidRPr="00A31829" w:rsidRDefault="00BA3640" w:rsidP="00A31829">
      <w:pPr>
        <w:spacing w:line="3" w:lineRule="exact"/>
        <w:jc w:val="both"/>
        <w:rPr>
          <w:sz w:val="24"/>
          <w:szCs w:val="24"/>
        </w:rPr>
      </w:pPr>
    </w:p>
    <w:p w14:paraId="4448DBA1" w14:textId="40C9C782" w:rsidR="00BA3640" w:rsidRPr="00A31829" w:rsidRDefault="00AD5C60" w:rsidP="00A31829">
      <w:pPr>
        <w:spacing w:line="392" w:lineRule="auto"/>
        <w:ind w:left="100" w:firstLine="720"/>
        <w:jc w:val="both"/>
        <w:rPr>
          <w:sz w:val="24"/>
          <w:szCs w:val="24"/>
        </w:rPr>
      </w:pPr>
      <w:r w:rsidRPr="00A31829">
        <w:rPr>
          <w:rFonts w:eastAsia="Arial"/>
          <w:sz w:val="24"/>
          <w:szCs w:val="24"/>
        </w:rPr>
        <w:t xml:space="preserve">There is strong evidence that a circulating factor is responsible </w:t>
      </w:r>
      <w:r w:rsidR="00A96524">
        <w:rPr>
          <w:rFonts w:eastAsia="Arial"/>
          <w:sz w:val="24"/>
          <w:szCs w:val="24"/>
        </w:rPr>
        <w:t>for Graves'</w:t>
      </w:r>
      <w:r w:rsidRPr="00A31829">
        <w:rPr>
          <w:rFonts w:eastAsia="Arial"/>
          <w:sz w:val="24"/>
          <w:szCs w:val="24"/>
        </w:rPr>
        <w:t xml:space="preserve"> disease. </w:t>
      </w:r>
      <w:r w:rsidRPr="002854E5">
        <w:rPr>
          <w:rFonts w:eastAsia="Arial"/>
          <w:sz w:val="24"/>
          <w:szCs w:val="24"/>
        </w:rPr>
        <w:t xml:space="preserve">Thyroid stimulating factor (TSH, eng. </w:t>
      </w:r>
      <w:r w:rsidR="00A96524" w:rsidRPr="002854E5">
        <w:rPr>
          <w:rFonts w:eastAsia="Arial"/>
          <w:sz w:val="24"/>
          <w:szCs w:val="24"/>
        </w:rPr>
        <w:t xml:space="preserve">Thyroid-Stimulating Hormone) </w:t>
      </w:r>
      <w:r w:rsidR="002854E5" w:rsidRPr="002854E5">
        <w:rPr>
          <w:rFonts w:eastAsia="Arial"/>
          <w:sz w:val="24"/>
          <w:szCs w:val="24"/>
        </w:rPr>
        <w:t>and</w:t>
      </w:r>
      <w:r w:rsidRPr="002854E5">
        <w:rPr>
          <w:rFonts w:eastAsia="Arial"/>
          <w:sz w:val="24"/>
          <w:szCs w:val="24"/>
        </w:rPr>
        <w:t xml:space="preserve"> serum of patients with Graves' disease </w:t>
      </w:r>
      <w:r w:rsidR="002854E5" w:rsidRPr="002854E5">
        <w:rPr>
          <w:rFonts w:eastAsia="Arial"/>
          <w:sz w:val="24"/>
          <w:szCs w:val="24"/>
        </w:rPr>
        <w:t xml:space="preserve">both </w:t>
      </w:r>
      <w:r w:rsidRPr="002854E5">
        <w:rPr>
          <w:rFonts w:eastAsia="Arial"/>
          <w:sz w:val="24"/>
          <w:szCs w:val="24"/>
        </w:rPr>
        <w:t>stimulate thyroid secretion, with the serum having a longer-lasting effect. This is due to the presence of IgG antibodies directed at the TSH receptor on the surface</w:t>
      </w:r>
      <w:r w:rsidRPr="00A31829">
        <w:rPr>
          <w:rFonts w:eastAsia="Arial"/>
          <w:sz w:val="24"/>
          <w:szCs w:val="24"/>
        </w:rPr>
        <w:t xml:space="preserve"> of human </w:t>
      </w:r>
      <w:r w:rsidRPr="00A31829">
        <w:rPr>
          <w:rFonts w:eastAsia="Arial"/>
          <w:sz w:val="24"/>
          <w:szCs w:val="24"/>
        </w:rPr>
        <w:lastRenderedPageBreak/>
        <w:t>thyroid cells. Most people with Graves' disease have antibodies directed at the TSH receptor that stimulates thyroid cells (so-called thyroid-stimulating antibodies ).</w:t>
      </w:r>
    </w:p>
    <w:p w14:paraId="3A1E81E9" w14:textId="77777777" w:rsidR="00BA3640" w:rsidRPr="00A31829" w:rsidRDefault="00BA3640" w:rsidP="00A31829">
      <w:pPr>
        <w:spacing w:line="7" w:lineRule="exact"/>
        <w:jc w:val="both"/>
        <w:rPr>
          <w:sz w:val="24"/>
          <w:szCs w:val="24"/>
        </w:rPr>
      </w:pPr>
    </w:p>
    <w:p w14:paraId="3F6A99FE" w14:textId="3FF69530" w:rsidR="00BA3640" w:rsidRPr="00A31829" w:rsidRDefault="00AD5C60" w:rsidP="00A31829">
      <w:pPr>
        <w:spacing w:line="411" w:lineRule="auto"/>
        <w:ind w:left="100" w:firstLine="720"/>
        <w:jc w:val="both"/>
        <w:rPr>
          <w:sz w:val="24"/>
          <w:szCs w:val="24"/>
        </w:rPr>
      </w:pPr>
      <w:r w:rsidRPr="00A31829">
        <w:rPr>
          <w:rFonts w:eastAsia="Arial"/>
          <w:sz w:val="24"/>
          <w:szCs w:val="24"/>
        </w:rPr>
        <w:t xml:space="preserve">In autoimmune thyroiditis, the thyroid gland is characteristically infiltrated with T lymphocytes (both CD4+ and CD8+ T lymphocytes are present). These lymphocytes express a limited number of T cell receptor genes compared to peripheral blood T lymphocytes of the same individual. This finding indicates that intrathyroidal T lymphocytes express less diverse receptors, because T lymphocytes that are specific for peptides originating from the thyroid are more represented in this place. In Graves' disease, </w:t>
      </w:r>
      <w:r w:rsidRPr="002854E5">
        <w:rPr>
          <w:rFonts w:eastAsia="Arial"/>
          <w:sz w:val="24"/>
          <w:szCs w:val="24"/>
        </w:rPr>
        <w:t>Th lymphocytes</w:t>
      </w:r>
      <w:r w:rsidRPr="00A31829">
        <w:rPr>
          <w:rFonts w:eastAsia="Arial"/>
          <w:sz w:val="24"/>
          <w:szCs w:val="24"/>
        </w:rPr>
        <w:t xml:space="preserve"> become sensitized to antigens in the thyroid gland and stimulate </w:t>
      </w:r>
      <w:r w:rsidR="002854E5">
        <w:rPr>
          <w:rFonts w:eastAsia="Arial"/>
          <w:sz w:val="24"/>
          <w:szCs w:val="24"/>
        </w:rPr>
        <w:t>B</w:t>
      </w:r>
      <w:r w:rsidRPr="00A31829">
        <w:rPr>
          <w:rFonts w:eastAsia="Arial"/>
          <w:sz w:val="24"/>
          <w:szCs w:val="24"/>
        </w:rPr>
        <w:t xml:space="preserve"> lymphocytes to secrete antibodies. These antibodies target the TSH receptor on the surface of thyroid cells resulting in increased growth and function of the thyroid gland</w:t>
      </w:r>
    </w:p>
    <w:p w14:paraId="77A270A6" w14:textId="77777777" w:rsidR="00BA3640" w:rsidRPr="00A31829" w:rsidRDefault="00BA3640" w:rsidP="00A31829">
      <w:pPr>
        <w:spacing w:line="4" w:lineRule="exact"/>
        <w:jc w:val="both"/>
        <w:rPr>
          <w:sz w:val="24"/>
          <w:szCs w:val="24"/>
        </w:rPr>
      </w:pPr>
    </w:p>
    <w:p w14:paraId="4409C7E7" w14:textId="667B2881" w:rsidR="00BA3640" w:rsidRPr="00A31829" w:rsidRDefault="00AD5C60" w:rsidP="00A31829">
      <w:pPr>
        <w:spacing w:line="456" w:lineRule="auto"/>
        <w:ind w:left="100" w:right="40" w:firstLine="720"/>
        <w:jc w:val="both"/>
        <w:rPr>
          <w:sz w:val="24"/>
          <w:szCs w:val="24"/>
        </w:rPr>
      </w:pPr>
      <w:r w:rsidRPr="00A31829">
        <w:rPr>
          <w:rFonts w:eastAsia="Arial"/>
          <w:sz w:val="24"/>
          <w:szCs w:val="24"/>
        </w:rPr>
        <w:t>Two out of 1,000 pregnant women have thyrotoxicosis, and occasionally it occurs in newborns of affected mothers</w:t>
      </w:r>
      <w:r w:rsidR="00A96524">
        <w:rPr>
          <w:rFonts w:eastAsia="Arial"/>
          <w:sz w:val="24"/>
          <w:szCs w:val="24"/>
        </w:rPr>
        <w:t xml:space="preserve"> - </w:t>
      </w:r>
      <w:r w:rsidRPr="00A31829">
        <w:rPr>
          <w:rFonts w:eastAsia="Arial"/>
          <w:sz w:val="24"/>
          <w:szCs w:val="24"/>
        </w:rPr>
        <w:t>neonatal</w:t>
      </w:r>
      <w:r w:rsidR="00A31829">
        <w:rPr>
          <w:rFonts w:eastAsia="Arial"/>
          <w:sz w:val="24"/>
          <w:szCs w:val="24"/>
        </w:rPr>
        <w:t xml:space="preserve"> </w:t>
      </w:r>
      <w:r w:rsidRPr="00A31829">
        <w:rPr>
          <w:rFonts w:eastAsia="Arial"/>
          <w:sz w:val="24"/>
          <w:szCs w:val="24"/>
        </w:rPr>
        <w:t>Graves' disease. This is a consequence</w:t>
      </w:r>
      <w:bookmarkStart w:id="2" w:name="page4"/>
      <w:bookmarkEnd w:id="2"/>
      <w:r w:rsidR="00A31829">
        <w:rPr>
          <w:sz w:val="24"/>
          <w:szCs w:val="24"/>
        </w:rPr>
        <w:t xml:space="preserve"> </w:t>
      </w:r>
      <w:r w:rsidR="00A96524">
        <w:rPr>
          <w:sz w:val="24"/>
          <w:szCs w:val="24"/>
        </w:rPr>
        <w:t xml:space="preserve">of the </w:t>
      </w:r>
      <w:r w:rsidRPr="00A31829">
        <w:rPr>
          <w:rFonts w:eastAsia="Arial"/>
          <w:sz w:val="24"/>
          <w:szCs w:val="24"/>
        </w:rPr>
        <w:t>transplacental passage of thyroid-stimulating IgG from mother to fetus. Graves' disease in infants can be severe. Affected children develop goiter (goiter), exophthalmos, feeding problems, pyrexia, and tachycardia, and heart failure may also occur if these children are not treated. Spontaneous recovery can occur after 2-3 months, which corresponds to the time of the mother's IgG metabolism (the half-life of IgG is three weeks).</w:t>
      </w:r>
    </w:p>
    <w:p w14:paraId="4646CC0D" w14:textId="77777777" w:rsidR="00BA3640" w:rsidRPr="00A31829" w:rsidRDefault="00BA3640" w:rsidP="00A31829">
      <w:pPr>
        <w:spacing w:line="3" w:lineRule="exact"/>
        <w:jc w:val="both"/>
        <w:rPr>
          <w:sz w:val="24"/>
          <w:szCs w:val="24"/>
        </w:rPr>
      </w:pPr>
    </w:p>
    <w:p w14:paraId="250ED994" w14:textId="77777777" w:rsidR="00BA3640" w:rsidRPr="00A31829" w:rsidRDefault="00AD5C60" w:rsidP="00224811">
      <w:pPr>
        <w:spacing w:line="469" w:lineRule="auto"/>
        <w:ind w:right="40" w:firstLine="720"/>
        <w:jc w:val="both"/>
        <w:rPr>
          <w:sz w:val="24"/>
          <w:szCs w:val="24"/>
        </w:rPr>
      </w:pPr>
      <w:r w:rsidRPr="00A31829">
        <w:rPr>
          <w:rFonts w:eastAsia="Arial"/>
          <w:sz w:val="24"/>
          <w:szCs w:val="24"/>
        </w:rPr>
        <w:t>Anti-thyroid antibody levels in Graves' disease and Hashimoto's thyroiditis patients tend to decrease during pregnancy and then rise again later.</w:t>
      </w:r>
    </w:p>
    <w:p w14:paraId="45BDC7D9" w14:textId="77777777" w:rsidR="00BA3640" w:rsidRPr="00A31829" w:rsidRDefault="00BA3640" w:rsidP="00A31829">
      <w:pPr>
        <w:spacing w:line="255" w:lineRule="exact"/>
        <w:jc w:val="both"/>
        <w:rPr>
          <w:sz w:val="24"/>
          <w:szCs w:val="24"/>
        </w:rPr>
      </w:pPr>
    </w:p>
    <w:p w14:paraId="1CA8BBCE" w14:textId="4611EED8" w:rsidR="00BA3640" w:rsidRPr="00A31829" w:rsidRDefault="00AD5C60" w:rsidP="00A31829">
      <w:pPr>
        <w:spacing w:line="480" w:lineRule="auto"/>
        <w:ind w:right="20" w:firstLine="720"/>
        <w:jc w:val="both"/>
        <w:rPr>
          <w:sz w:val="24"/>
          <w:szCs w:val="24"/>
        </w:rPr>
      </w:pPr>
      <w:r w:rsidRPr="00A31829">
        <w:rPr>
          <w:rFonts w:eastAsia="Arial"/>
          <w:sz w:val="24"/>
          <w:szCs w:val="24"/>
        </w:rPr>
        <w:t>In many pregnant women without visible signs of thyroid disease, fluctuations in the new anti-thyroid autoantibodies develop, which results in a transient disorder of thyroid function, ie.postpartum thyroiditis. The prevalence of this disease is about 5-10%. Thyroid dysfunction in the first year after pregnancy should be carefully treated. Some women with postpartum thyroiditis may later develop a noticeable autoimmune disease.</w:t>
      </w:r>
    </w:p>
    <w:p w14:paraId="10399DDD" w14:textId="77777777" w:rsidR="00BA3640" w:rsidRPr="00A31829" w:rsidRDefault="00BA3640" w:rsidP="00A31829">
      <w:pPr>
        <w:spacing w:line="480" w:lineRule="auto"/>
        <w:jc w:val="both"/>
        <w:rPr>
          <w:sz w:val="24"/>
          <w:szCs w:val="24"/>
        </w:rPr>
      </w:pPr>
    </w:p>
    <w:p w14:paraId="0D69DA77" w14:textId="79B0C578" w:rsidR="00BA3640" w:rsidRPr="00A31829" w:rsidRDefault="00A96524" w:rsidP="00A31829">
      <w:pPr>
        <w:spacing w:line="480" w:lineRule="auto"/>
        <w:ind w:firstLine="720"/>
        <w:jc w:val="both"/>
        <w:rPr>
          <w:sz w:val="24"/>
          <w:szCs w:val="24"/>
        </w:rPr>
      </w:pPr>
      <w:r>
        <w:rPr>
          <w:rFonts w:eastAsia="Arial"/>
          <w:sz w:val="24"/>
          <w:szCs w:val="24"/>
        </w:rPr>
        <w:lastRenderedPageBreak/>
        <w:t>H</w:t>
      </w:r>
      <w:r w:rsidR="00AD5C60" w:rsidRPr="00A31829">
        <w:rPr>
          <w:rFonts w:eastAsia="Arial"/>
          <w:sz w:val="24"/>
          <w:szCs w:val="24"/>
        </w:rPr>
        <w:t xml:space="preserve">alf of </w:t>
      </w:r>
      <w:r>
        <w:rPr>
          <w:rFonts w:eastAsia="Arial"/>
          <w:sz w:val="24"/>
          <w:szCs w:val="24"/>
        </w:rPr>
        <w:t xml:space="preserve">the </w:t>
      </w:r>
      <w:r w:rsidR="00AD5C60" w:rsidRPr="00A31829">
        <w:rPr>
          <w:rFonts w:eastAsia="Arial"/>
          <w:sz w:val="24"/>
          <w:szCs w:val="24"/>
        </w:rPr>
        <w:t>people with Graves' disease</w:t>
      </w:r>
      <w:r w:rsidR="00A31829">
        <w:rPr>
          <w:rFonts w:eastAsia="Arial"/>
          <w:sz w:val="24"/>
          <w:szCs w:val="24"/>
        </w:rPr>
        <w:t xml:space="preserve"> </w:t>
      </w:r>
      <w:r>
        <w:rPr>
          <w:rFonts w:eastAsia="Arial"/>
          <w:sz w:val="24"/>
          <w:szCs w:val="24"/>
        </w:rPr>
        <w:t xml:space="preserve">develop </w:t>
      </w:r>
      <w:r w:rsidR="00AD5C60" w:rsidRPr="00A31829">
        <w:rPr>
          <w:rFonts w:eastAsia="Arial"/>
          <w:sz w:val="24"/>
          <w:szCs w:val="24"/>
        </w:rPr>
        <w:t>exophthalmos</w:t>
      </w:r>
      <w:r w:rsidR="00A31829">
        <w:rPr>
          <w:rFonts w:eastAsia="Arial"/>
          <w:sz w:val="24"/>
          <w:szCs w:val="24"/>
        </w:rPr>
        <w:t xml:space="preserve"> </w:t>
      </w:r>
      <w:r w:rsidR="00AD5C60" w:rsidRPr="00A31829">
        <w:rPr>
          <w:rFonts w:eastAsia="Arial"/>
          <w:sz w:val="24"/>
          <w:szCs w:val="24"/>
        </w:rPr>
        <w:t>(bulging of the eyes), which may precede, appear at the same time or may follow the hyperthyroid phase. Exophthalmos can even occur occasionally in euthyroid individuals, or it can be associated with Hashimoto's thyroiditis. Smoking is an important risk factor. Exophthalmos is the result of two pathological processes: myositis and proliferation of retroorbital tissue. Myositis is accompanied by infiltration of lymphocytes. The serum of affected persons contains antibodies that bind to eye muscle extracts, and some of these antibodies cross-react with other antigens of the orbit, as well as with antigens of the thyroid gland. It is assumed that the TSH receptor expressed on fibroblasts and in the muscle tissue of the orbit contributes to the sensitization of lymphocytes. Lymphocytes sensitized to the TSH receptor in this way secrete cytokines, which causes an inflammatory process in the orbital tissue. In people with severe exophthalmos and compression of the optic nerve ("malignant exophthalmos"), high doses of corticosteroids are useful, sometimes given together with immunosuppressive drugs. If there is deterioration, surgical decompression is indicated. Orbital radiation is also used, although the benefit of this therapeutic procedure is controversial.</w:t>
      </w:r>
    </w:p>
    <w:p w14:paraId="51D69F6A" w14:textId="03E0C926" w:rsidR="00BA3640" w:rsidRPr="00A31829" w:rsidRDefault="00A96524" w:rsidP="00A31829">
      <w:pPr>
        <w:spacing w:line="480" w:lineRule="auto"/>
        <w:ind w:right="100" w:firstLine="720"/>
        <w:jc w:val="both"/>
        <w:rPr>
          <w:sz w:val="24"/>
          <w:szCs w:val="24"/>
        </w:rPr>
      </w:pPr>
      <w:bookmarkStart w:id="3" w:name="page5"/>
      <w:bookmarkEnd w:id="3"/>
      <w:r>
        <w:rPr>
          <w:rFonts w:eastAsia="Arial"/>
          <w:sz w:val="24"/>
          <w:szCs w:val="24"/>
        </w:rPr>
        <w:t xml:space="preserve">A </w:t>
      </w:r>
      <w:r w:rsidR="00AD5C60" w:rsidRPr="00A31829">
        <w:rPr>
          <w:rFonts w:eastAsia="Arial"/>
          <w:sz w:val="24"/>
          <w:szCs w:val="24"/>
        </w:rPr>
        <w:t xml:space="preserve">few </w:t>
      </w:r>
      <w:r>
        <w:rPr>
          <w:rFonts w:eastAsia="Arial"/>
          <w:sz w:val="24"/>
          <w:szCs w:val="24"/>
        </w:rPr>
        <w:t xml:space="preserve">Graves' disease patients (3-5%) develop </w:t>
      </w:r>
      <w:r w:rsidR="00AD5C60" w:rsidRPr="00A31829">
        <w:rPr>
          <w:rFonts w:eastAsia="Arial"/>
          <w:sz w:val="24"/>
          <w:szCs w:val="24"/>
        </w:rPr>
        <w:t>pretibial myxedema;</w:t>
      </w:r>
      <w:r>
        <w:rPr>
          <w:rFonts w:eastAsia="Arial"/>
          <w:sz w:val="24"/>
          <w:szCs w:val="24"/>
        </w:rPr>
        <w:t xml:space="preserve"> </w:t>
      </w:r>
      <w:r w:rsidR="00AD5C60" w:rsidRPr="00A31829">
        <w:rPr>
          <w:rFonts w:eastAsia="Arial"/>
          <w:sz w:val="24"/>
          <w:szCs w:val="24"/>
        </w:rPr>
        <w:t xml:space="preserve">these people </w:t>
      </w:r>
      <w:r>
        <w:rPr>
          <w:rFonts w:eastAsia="Arial"/>
          <w:sz w:val="24"/>
          <w:szCs w:val="24"/>
        </w:rPr>
        <w:t>tend</w:t>
      </w:r>
      <w:r w:rsidR="00AD5C60" w:rsidRPr="00A31829">
        <w:rPr>
          <w:rFonts w:eastAsia="Arial"/>
          <w:sz w:val="24"/>
          <w:szCs w:val="24"/>
        </w:rPr>
        <w:t xml:space="preserve"> to develop exophthalmos. </w:t>
      </w:r>
      <w:r w:rsidR="00AD5C60" w:rsidRPr="002854E5">
        <w:rPr>
          <w:rFonts w:eastAsia="Arial"/>
          <w:sz w:val="24"/>
          <w:szCs w:val="24"/>
        </w:rPr>
        <w:t xml:space="preserve">Pretibial myxedema </w:t>
      </w:r>
      <w:r w:rsidR="002854E5" w:rsidRPr="002854E5">
        <w:rPr>
          <w:rFonts w:eastAsia="Arial"/>
          <w:sz w:val="24"/>
          <w:szCs w:val="24"/>
        </w:rPr>
        <w:t>i</w:t>
      </w:r>
      <w:r w:rsidR="00AD5C60" w:rsidRPr="002854E5">
        <w:rPr>
          <w:rFonts w:eastAsia="Arial"/>
          <w:sz w:val="24"/>
          <w:szCs w:val="24"/>
        </w:rPr>
        <w:t>s clearly limited, subcutaneous thickening on the antero-lateral side of the leg.</w:t>
      </w:r>
      <w:r w:rsidR="00AD5C60" w:rsidRPr="00A31829">
        <w:rPr>
          <w:rFonts w:eastAsia="Arial"/>
          <w:sz w:val="24"/>
          <w:szCs w:val="24"/>
        </w:rPr>
        <w:t xml:space="preserve"> The swelling is hard when pressed, and the skin in these places is shiny and reddish brown. The development of pretibial myxedema was not associated with the duration or degree of hyperthyroidism. The pathogenesis of this myxedema is unknown, although, as in eye disease caused by thyroid dysfunction, aberrant expression of the TSH receptor is also present in this affected tissue.</w:t>
      </w:r>
    </w:p>
    <w:p w14:paraId="31AE9899" w14:textId="77777777" w:rsidR="00BA3640" w:rsidRPr="00A31829" w:rsidRDefault="00BA3640" w:rsidP="00A31829">
      <w:pPr>
        <w:spacing w:line="480" w:lineRule="auto"/>
        <w:jc w:val="both"/>
        <w:rPr>
          <w:sz w:val="24"/>
          <w:szCs w:val="24"/>
        </w:rPr>
      </w:pPr>
    </w:p>
    <w:p w14:paraId="1220FF6D" w14:textId="17250CF3" w:rsidR="00BA3640" w:rsidRPr="00A31829" w:rsidRDefault="00AD5C60" w:rsidP="00A31829">
      <w:pPr>
        <w:spacing w:line="480" w:lineRule="auto"/>
        <w:ind w:firstLine="720"/>
        <w:jc w:val="both"/>
        <w:rPr>
          <w:sz w:val="24"/>
          <w:szCs w:val="24"/>
        </w:rPr>
      </w:pPr>
      <w:r w:rsidRPr="00A31829">
        <w:rPr>
          <w:rFonts w:eastAsia="Arial"/>
          <w:sz w:val="24"/>
          <w:szCs w:val="24"/>
        </w:rPr>
        <w:t xml:space="preserve">Genetic factors are important in the etiology of Graves' disease. A history of hyperthyroidism in the family is registered in about 50% of affected persons. HLA-DR3 and CTLA-4 gene polymorphisms are closely related to </w:t>
      </w:r>
      <w:r w:rsidR="002854E5" w:rsidRPr="00A31829">
        <w:rPr>
          <w:rFonts w:eastAsia="Arial"/>
          <w:sz w:val="24"/>
          <w:szCs w:val="24"/>
        </w:rPr>
        <w:t>Graves’</w:t>
      </w:r>
      <w:r w:rsidRPr="00A31829">
        <w:rPr>
          <w:rFonts w:eastAsia="Arial"/>
          <w:sz w:val="24"/>
          <w:szCs w:val="24"/>
        </w:rPr>
        <w:t xml:space="preserve"> disease in Caucasians and together </w:t>
      </w:r>
      <w:r w:rsidRPr="00A31829">
        <w:rPr>
          <w:rFonts w:eastAsia="Arial"/>
          <w:sz w:val="24"/>
          <w:szCs w:val="24"/>
        </w:rPr>
        <w:lastRenderedPageBreak/>
        <w:t>contribute to about 50% of genetic susceptibility in this ethnic group. The environmental triggers for</w:t>
      </w:r>
      <w:r w:rsidR="00224811" w:rsidRPr="00224811">
        <w:t xml:space="preserve"> </w:t>
      </w:r>
      <w:r w:rsidR="00224811" w:rsidRPr="00224811">
        <w:rPr>
          <w:rFonts w:eastAsia="Arial"/>
          <w:sz w:val="24"/>
          <w:szCs w:val="24"/>
        </w:rPr>
        <w:t xml:space="preserve">Graves’ </w:t>
      </w:r>
      <w:r w:rsidRPr="00A31829">
        <w:rPr>
          <w:rFonts w:eastAsia="Arial"/>
          <w:sz w:val="24"/>
          <w:szCs w:val="24"/>
        </w:rPr>
        <w:t xml:space="preserve">disease are unclear. There are some limited findings of viral infection caused by retroviruses in the thyroid tissue of affected individuals. There is a link between the onset of </w:t>
      </w:r>
      <w:r w:rsidR="00224811" w:rsidRPr="00224811">
        <w:rPr>
          <w:rFonts w:eastAsia="Arial"/>
          <w:sz w:val="24"/>
          <w:szCs w:val="24"/>
        </w:rPr>
        <w:t>Graves’</w:t>
      </w:r>
      <w:r w:rsidRPr="00A31829">
        <w:rPr>
          <w:rFonts w:eastAsia="Arial"/>
          <w:sz w:val="24"/>
          <w:szCs w:val="24"/>
        </w:rPr>
        <w:t xml:space="preserve"> disease and psychological stress. Treatment of patients with multiple sclerosis, which involves the use of a monoclonal antibody (</w:t>
      </w:r>
      <w:r w:rsidR="002854E5">
        <w:rPr>
          <w:rFonts w:eastAsia="Arial"/>
          <w:sz w:val="24"/>
          <w:szCs w:val="24"/>
        </w:rPr>
        <w:t>antiCD52Abs</w:t>
      </w:r>
      <w:r w:rsidRPr="002854E5">
        <w:rPr>
          <w:rFonts w:eastAsia="Arial"/>
          <w:sz w:val="24"/>
          <w:szCs w:val="24"/>
        </w:rPr>
        <w:t>)</w:t>
      </w:r>
      <w:r w:rsidRPr="00A31829">
        <w:rPr>
          <w:rFonts w:eastAsia="Arial"/>
          <w:sz w:val="24"/>
          <w:szCs w:val="24"/>
        </w:rPr>
        <w:t xml:space="preserve"> to remove lymphocytes, can induce </w:t>
      </w:r>
      <w:r w:rsidR="00224811" w:rsidRPr="00A31829">
        <w:rPr>
          <w:rFonts w:eastAsia="Arial"/>
          <w:sz w:val="24"/>
          <w:szCs w:val="24"/>
        </w:rPr>
        <w:t>Graves’</w:t>
      </w:r>
      <w:r w:rsidRPr="00A31829">
        <w:rPr>
          <w:rFonts w:eastAsia="Arial"/>
          <w:sz w:val="24"/>
          <w:szCs w:val="24"/>
        </w:rPr>
        <w:t xml:space="preserve"> disease in about 10% of cases, which is probably a consequence of the depletion of regulatory T lymphocytes.</w:t>
      </w:r>
    </w:p>
    <w:p w14:paraId="1BE3D4AC" w14:textId="261570EC" w:rsidR="00BA3640" w:rsidRPr="00A31829" w:rsidRDefault="00224811" w:rsidP="00224811">
      <w:pPr>
        <w:spacing w:line="480" w:lineRule="auto"/>
        <w:ind w:right="130" w:firstLine="720"/>
        <w:jc w:val="both"/>
        <w:rPr>
          <w:sz w:val="24"/>
          <w:szCs w:val="24"/>
        </w:rPr>
      </w:pPr>
      <w:r w:rsidRPr="00A31829">
        <w:rPr>
          <w:rFonts w:eastAsia="Arial"/>
          <w:sz w:val="24"/>
          <w:szCs w:val="24"/>
        </w:rPr>
        <w:t>Graves’ disease can be successfully treated with antithyroid drugs, radioactive iodine, or surgery. It has been shown that immunosuppressive therapy is not necessary to reduce the level of causative antibodies.</w:t>
      </w:r>
    </w:p>
    <w:p w14:paraId="0E6298B6" w14:textId="77777777" w:rsidR="00BA3640" w:rsidRPr="00A31829" w:rsidRDefault="00BA3640" w:rsidP="00A31829">
      <w:pPr>
        <w:spacing w:line="321" w:lineRule="exact"/>
        <w:jc w:val="both"/>
        <w:rPr>
          <w:sz w:val="24"/>
          <w:szCs w:val="24"/>
        </w:rPr>
      </w:pPr>
    </w:p>
    <w:p w14:paraId="778949DE" w14:textId="77777777" w:rsidR="00BA3640" w:rsidRPr="00A31829" w:rsidRDefault="00AD5C60" w:rsidP="00A31829">
      <w:pPr>
        <w:tabs>
          <w:tab w:val="left" w:pos="2140"/>
        </w:tabs>
        <w:ind w:left="1000"/>
        <w:jc w:val="both"/>
        <w:rPr>
          <w:b/>
          <w:bCs/>
          <w:sz w:val="24"/>
          <w:szCs w:val="24"/>
        </w:rPr>
      </w:pPr>
      <w:r w:rsidRPr="00A31829">
        <w:rPr>
          <w:rFonts w:eastAsia="Arial"/>
          <w:b/>
          <w:bCs/>
          <w:sz w:val="24"/>
          <w:szCs w:val="24"/>
        </w:rPr>
        <w:t>1.2.2.</w:t>
      </w:r>
      <w:r w:rsidRPr="00A31829">
        <w:rPr>
          <w:b/>
          <w:bCs/>
          <w:sz w:val="24"/>
          <w:szCs w:val="24"/>
        </w:rPr>
        <w:tab/>
      </w:r>
      <w:r w:rsidRPr="00A31829">
        <w:rPr>
          <w:rFonts w:eastAsia="Arial"/>
          <w:b/>
          <w:bCs/>
          <w:sz w:val="24"/>
          <w:szCs w:val="24"/>
        </w:rPr>
        <w:t>Hashimoto thyroiditis</w:t>
      </w:r>
    </w:p>
    <w:p w14:paraId="68E3BBFD" w14:textId="77777777" w:rsidR="00BA3640" w:rsidRPr="00A31829" w:rsidRDefault="00BA3640" w:rsidP="00A31829">
      <w:pPr>
        <w:spacing w:line="200" w:lineRule="exact"/>
        <w:jc w:val="both"/>
        <w:rPr>
          <w:sz w:val="24"/>
          <w:szCs w:val="24"/>
        </w:rPr>
      </w:pPr>
    </w:p>
    <w:p w14:paraId="03AFB9F2" w14:textId="77777777" w:rsidR="00BA3640" w:rsidRPr="00A31829" w:rsidRDefault="00BA3640" w:rsidP="00A31829">
      <w:pPr>
        <w:spacing w:line="375" w:lineRule="exact"/>
        <w:jc w:val="both"/>
        <w:rPr>
          <w:sz w:val="24"/>
          <w:szCs w:val="24"/>
        </w:rPr>
      </w:pPr>
    </w:p>
    <w:p w14:paraId="3D1FCCD1" w14:textId="06EC932F" w:rsidR="00BA3640" w:rsidRPr="00A31829" w:rsidRDefault="00AD5C60" w:rsidP="00A31829">
      <w:pPr>
        <w:spacing w:line="480" w:lineRule="auto"/>
        <w:ind w:firstLine="720"/>
        <w:jc w:val="both"/>
        <w:rPr>
          <w:sz w:val="24"/>
          <w:szCs w:val="24"/>
        </w:rPr>
      </w:pPr>
      <w:r w:rsidRPr="00A31829">
        <w:rPr>
          <w:rFonts w:eastAsia="Arial"/>
          <w:sz w:val="24"/>
          <w:szCs w:val="24"/>
        </w:rPr>
        <w:t>Hashimoto thyroiditis is a chronic inflammation of the thyroid gland and is a common cause of hypothyroidism and goiter. 5% of sufferers are hyperthyroid and develop a disease reminiscent of Graves' disease (also known as "Hashitoxicosis"). About 50% of patients eventually become hypothyroid, which is a consequence of the destruction of the thyroid gland. It is the main cause of goiter in children and young people and also causes idiopathic myxedema, which is the last stage of Hashimoto thyroiditis. Hashimoto</w:t>
      </w:r>
      <w:bookmarkStart w:id="4" w:name="page6"/>
      <w:bookmarkEnd w:id="4"/>
      <w:r w:rsidR="00A31829">
        <w:rPr>
          <w:sz w:val="24"/>
          <w:szCs w:val="24"/>
        </w:rPr>
        <w:t xml:space="preserve"> </w:t>
      </w:r>
      <w:r w:rsidRPr="00A31829">
        <w:rPr>
          <w:rFonts w:eastAsia="Arial"/>
          <w:sz w:val="24"/>
          <w:szCs w:val="24"/>
        </w:rPr>
        <w:t>thyroiditis is a familial disease and is associated with other organ-specific autoimmune diseases.</w:t>
      </w:r>
    </w:p>
    <w:p w14:paraId="080140E0" w14:textId="77777777" w:rsidR="00BA3640" w:rsidRPr="00A31829" w:rsidRDefault="00BA3640" w:rsidP="00A31829">
      <w:pPr>
        <w:spacing w:line="480" w:lineRule="auto"/>
        <w:jc w:val="both"/>
        <w:rPr>
          <w:sz w:val="24"/>
          <w:szCs w:val="24"/>
        </w:rPr>
      </w:pPr>
    </w:p>
    <w:p w14:paraId="4EBF8BD3" w14:textId="18B41C62" w:rsidR="00BA3640" w:rsidRPr="00A31829" w:rsidRDefault="00AD5C60" w:rsidP="00A31829">
      <w:pPr>
        <w:spacing w:line="480" w:lineRule="auto"/>
        <w:ind w:firstLine="720"/>
        <w:jc w:val="both"/>
        <w:rPr>
          <w:sz w:val="24"/>
          <w:szCs w:val="24"/>
        </w:rPr>
      </w:pPr>
      <w:r w:rsidRPr="00A31829">
        <w:rPr>
          <w:rFonts w:eastAsia="Arial"/>
          <w:sz w:val="24"/>
          <w:szCs w:val="24"/>
        </w:rPr>
        <w:t>Pathogenesis</w:t>
      </w:r>
      <w:r w:rsidR="00A31829">
        <w:rPr>
          <w:rFonts w:eastAsia="Arial"/>
          <w:sz w:val="24"/>
          <w:szCs w:val="24"/>
        </w:rPr>
        <w:t xml:space="preserve"> </w:t>
      </w:r>
      <w:r w:rsidRPr="00A31829">
        <w:rPr>
          <w:rFonts w:eastAsia="Arial"/>
          <w:sz w:val="24"/>
          <w:szCs w:val="24"/>
        </w:rPr>
        <w:t xml:space="preserve">Hashimoto's thyroiditis (table 2) involves T lymphocytes that are specifically sensitized to thyroid antigens, as well as the unclear participation of autoantibodies that also react to thyroid antigens. Goiter is the result of marked infiltration of the thyroid gland by T lymphocytes that disturb the normal architecture of the thyroid gland. The cellular infiltrate includes CD4+ and CD8+ T lymphocytes, and some </w:t>
      </w:r>
      <w:r w:rsidR="00224811">
        <w:rPr>
          <w:rFonts w:eastAsia="Arial"/>
          <w:sz w:val="24"/>
          <w:szCs w:val="24"/>
        </w:rPr>
        <w:t>B</w:t>
      </w:r>
      <w:r w:rsidRPr="00A31829">
        <w:rPr>
          <w:rFonts w:eastAsia="Arial"/>
          <w:sz w:val="24"/>
          <w:szCs w:val="24"/>
        </w:rPr>
        <w:t xml:space="preserve"> lymphocytes that form lymphoid follicles and germinal centers </w:t>
      </w:r>
      <w:r w:rsidRPr="00A31829">
        <w:rPr>
          <w:rFonts w:eastAsia="Arial"/>
          <w:sz w:val="24"/>
          <w:szCs w:val="24"/>
        </w:rPr>
        <w:lastRenderedPageBreak/>
        <w:t>in this place. These cells express activation markers, while cytokines can be detected in the inflamed tissue. The destruction of thyroid cells is probably a consequence of apoptosis mediated by the Fas molecule and induced by cytotoxic T lymphocytes. This destruction of the thyroid gland results in a decreased concentration of T3 and FT4 in the serum, and an increase in TSH.</w:t>
      </w:r>
    </w:p>
    <w:p w14:paraId="3DB74A11" w14:textId="1C395C62" w:rsidR="00BA3640" w:rsidRPr="00A31829" w:rsidRDefault="00AD5C60" w:rsidP="00224811">
      <w:pPr>
        <w:spacing w:line="480" w:lineRule="auto"/>
        <w:ind w:right="40" w:firstLine="720"/>
        <w:jc w:val="both"/>
        <w:rPr>
          <w:sz w:val="24"/>
          <w:szCs w:val="24"/>
        </w:rPr>
      </w:pPr>
      <w:r w:rsidRPr="00A31829">
        <w:rPr>
          <w:rFonts w:eastAsia="Arial"/>
          <w:sz w:val="24"/>
          <w:szCs w:val="24"/>
        </w:rPr>
        <w:t>In Hashimoto's thyroiditis, antibodies directed at thyroglobulin and thyroid peroxidase are registered, as well as an antibody that blocks the TSH receptor.</w:t>
      </w:r>
      <w:r w:rsidR="00A31829">
        <w:rPr>
          <w:rFonts w:eastAsia="Arial"/>
          <w:sz w:val="24"/>
          <w:szCs w:val="24"/>
        </w:rPr>
        <w:t xml:space="preserve"> </w:t>
      </w:r>
      <w:r w:rsidRPr="00A31829">
        <w:rPr>
          <w:rFonts w:eastAsia="Arial"/>
          <w:sz w:val="24"/>
          <w:szCs w:val="24"/>
        </w:rPr>
        <w:t>The main complication of Hashimoto's thyroiditis is progressive hypothyroidism.</w:t>
      </w:r>
    </w:p>
    <w:p w14:paraId="338E678F" w14:textId="77777777" w:rsidR="00BA3640" w:rsidRPr="00A31829" w:rsidRDefault="00BA3640">
      <w:pPr>
        <w:spacing w:line="375" w:lineRule="exact"/>
        <w:rPr>
          <w:sz w:val="20"/>
          <w:szCs w:val="20"/>
        </w:rPr>
      </w:pPr>
    </w:p>
    <w:p w14:paraId="7927B149" w14:textId="77777777" w:rsidR="00BA3640" w:rsidRPr="00A31829" w:rsidRDefault="00AD5C60">
      <w:pPr>
        <w:rPr>
          <w:sz w:val="20"/>
          <w:szCs w:val="20"/>
        </w:rPr>
      </w:pPr>
      <w:r w:rsidRPr="00A31829">
        <w:rPr>
          <w:rFonts w:eastAsia="Arial"/>
          <w:b/>
          <w:bCs/>
          <w:sz w:val="23"/>
          <w:szCs w:val="23"/>
          <w:u w:val="single"/>
        </w:rPr>
        <w:t>Table 2</w:t>
      </w:r>
    </w:p>
    <w:p w14:paraId="02C943A5" w14:textId="77777777" w:rsidR="00BA3640" w:rsidRPr="00A31829" w:rsidRDefault="00AD5C60">
      <w:pPr>
        <w:spacing w:line="20" w:lineRule="exact"/>
        <w:rPr>
          <w:sz w:val="20"/>
          <w:szCs w:val="20"/>
        </w:rPr>
      </w:pPr>
      <w:r w:rsidRPr="00A31829">
        <w:rPr>
          <w:noProof/>
          <w:sz w:val="20"/>
          <w:szCs w:val="20"/>
        </w:rPr>
        <w:drawing>
          <wp:anchor distT="0" distB="0" distL="114300" distR="114300" simplePos="0" relativeHeight="251655680" behindDoc="1" locked="0" layoutInCell="0" allowOverlap="1" wp14:anchorId="4D93ACE4" wp14:editId="355C82C4">
            <wp:simplePos x="0" y="0"/>
            <wp:positionH relativeFrom="column">
              <wp:posOffset>-67945</wp:posOffset>
            </wp:positionH>
            <wp:positionV relativeFrom="paragraph">
              <wp:posOffset>109855</wp:posOffset>
            </wp:positionV>
            <wp:extent cx="5921375" cy="26225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srcRect/>
                    <a:stretch>
                      <a:fillRect/>
                    </a:stretch>
                  </pic:blipFill>
                  <pic:spPr bwMode="auto">
                    <a:xfrm>
                      <a:off x="0" y="0"/>
                      <a:ext cx="5921375" cy="262255"/>
                    </a:xfrm>
                    <a:prstGeom prst="rect">
                      <a:avLst/>
                    </a:prstGeom>
                    <a:noFill/>
                  </pic:spPr>
                </pic:pic>
              </a:graphicData>
            </a:graphic>
          </wp:anchor>
        </w:drawing>
      </w:r>
    </w:p>
    <w:p w14:paraId="7E34C9CF" w14:textId="77777777" w:rsidR="00BA3640" w:rsidRPr="00A31829" w:rsidRDefault="00BA3640">
      <w:pPr>
        <w:spacing w:line="173" w:lineRule="exact"/>
        <w:rPr>
          <w:sz w:val="20"/>
          <w:szCs w:val="20"/>
        </w:rPr>
      </w:pPr>
    </w:p>
    <w:p w14:paraId="4A2F053C" w14:textId="77777777" w:rsidR="00BA3640" w:rsidRPr="00A31829" w:rsidRDefault="00AD5C60">
      <w:pPr>
        <w:rPr>
          <w:sz w:val="20"/>
          <w:szCs w:val="20"/>
        </w:rPr>
      </w:pPr>
      <w:r w:rsidRPr="00A31829">
        <w:rPr>
          <w:rFonts w:eastAsia="Arial"/>
          <w:b/>
          <w:bCs/>
          <w:color w:val="FFFFFF"/>
          <w:sz w:val="19"/>
          <w:szCs w:val="19"/>
        </w:rPr>
        <w:t>Evidence of autoimmune reactions in the pathogenesis of Hashimoto's thyroiditis</w:t>
      </w:r>
    </w:p>
    <w:p w14:paraId="08E8A318" w14:textId="1BF439B4" w:rsidR="00BA3640" w:rsidRPr="00A31829" w:rsidRDefault="00BA3640">
      <w:pPr>
        <w:spacing w:line="20" w:lineRule="exact"/>
        <w:rPr>
          <w:sz w:val="20"/>
          <w:szCs w:val="20"/>
        </w:rPr>
      </w:pPr>
    </w:p>
    <w:p w14:paraId="5FC59075" w14:textId="03566C36" w:rsidR="00BA3640" w:rsidRPr="00A31829" w:rsidRDefault="00A31829">
      <w:pPr>
        <w:spacing w:line="200" w:lineRule="exact"/>
        <w:rPr>
          <w:sz w:val="20"/>
          <w:szCs w:val="20"/>
        </w:rPr>
      </w:pPr>
      <w:r w:rsidRPr="00A31829">
        <w:rPr>
          <w:noProof/>
          <w:sz w:val="20"/>
          <w:szCs w:val="20"/>
        </w:rPr>
        <w:drawing>
          <wp:anchor distT="0" distB="0" distL="114300" distR="114300" simplePos="0" relativeHeight="251658752" behindDoc="1" locked="0" layoutInCell="0" allowOverlap="1" wp14:anchorId="39116E2C" wp14:editId="269466DD">
            <wp:simplePos x="0" y="0"/>
            <wp:positionH relativeFrom="column">
              <wp:posOffset>-68580</wp:posOffset>
            </wp:positionH>
            <wp:positionV relativeFrom="paragraph">
              <wp:posOffset>120016</wp:posOffset>
            </wp:positionV>
            <wp:extent cx="5921375" cy="28575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932760" cy="2862994"/>
                    </a:xfrm>
                    <a:prstGeom prst="rect">
                      <a:avLst/>
                    </a:prstGeom>
                    <a:noFill/>
                  </pic:spPr>
                </pic:pic>
              </a:graphicData>
            </a:graphic>
            <wp14:sizeRelH relativeFrom="margin">
              <wp14:pctWidth>0</wp14:pctWidth>
            </wp14:sizeRelH>
            <wp14:sizeRelV relativeFrom="margin">
              <wp14:pctHeight>0</wp14:pctHeight>
            </wp14:sizeRelV>
          </wp:anchor>
        </w:drawing>
      </w:r>
    </w:p>
    <w:p w14:paraId="3943AFF2" w14:textId="77777777" w:rsidR="00BA3640" w:rsidRPr="00A31829" w:rsidRDefault="00BA3640">
      <w:pPr>
        <w:spacing w:line="395" w:lineRule="exact"/>
        <w:rPr>
          <w:sz w:val="20"/>
          <w:szCs w:val="20"/>
        </w:rPr>
      </w:pPr>
    </w:p>
    <w:p w14:paraId="74C1AFC7" w14:textId="77777777" w:rsidR="00BA3640" w:rsidRPr="00A31829" w:rsidRDefault="00AD5C60">
      <w:pPr>
        <w:numPr>
          <w:ilvl w:val="0"/>
          <w:numId w:val="1"/>
        </w:numPr>
        <w:tabs>
          <w:tab w:val="left" w:pos="360"/>
        </w:tabs>
        <w:spacing w:line="372" w:lineRule="auto"/>
        <w:ind w:left="360" w:right="620" w:hanging="360"/>
        <w:rPr>
          <w:rFonts w:eastAsia="Arial"/>
          <w:b/>
          <w:bCs/>
        </w:rPr>
      </w:pPr>
      <w:r w:rsidRPr="00A31829">
        <w:rPr>
          <w:rFonts w:eastAsia="Arial"/>
          <w:b/>
          <w:bCs/>
        </w:rPr>
        <w:t>T lymphocytes specific for thyroid antigens are present in the circulation. Clones of T lymphocytes derived from these cells can kill thyroid cells in culture</w:t>
      </w:r>
    </w:p>
    <w:p w14:paraId="45814F77" w14:textId="77777777" w:rsidR="00BA3640" w:rsidRPr="00A31829" w:rsidRDefault="00BA3640">
      <w:pPr>
        <w:spacing w:line="12" w:lineRule="exact"/>
        <w:rPr>
          <w:rFonts w:eastAsia="Arial"/>
          <w:b/>
          <w:bCs/>
        </w:rPr>
      </w:pPr>
    </w:p>
    <w:p w14:paraId="0CD270E9" w14:textId="77777777" w:rsidR="00BA3640" w:rsidRPr="00A31829" w:rsidRDefault="00AD5C60">
      <w:pPr>
        <w:numPr>
          <w:ilvl w:val="0"/>
          <w:numId w:val="1"/>
        </w:numPr>
        <w:tabs>
          <w:tab w:val="left" w:pos="360"/>
        </w:tabs>
        <w:spacing w:line="370" w:lineRule="auto"/>
        <w:ind w:left="360" w:right="1980" w:hanging="360"/>
        <w:rPr>
          <w:rFonts w:eastAsia="Arial"/>
          <w:b/>
          <w:bCs/>
        </w:rPr>
      </w:pPr>
      <w:r w:rsidRPr="00A31829">
        <w:rPr>
          <w:rFonts w:eastAsia="Arial"/>
          <w:b/>
          <w:bCs/>
        </w:rPr>
        <w:t>Serum autoantibodies have been shown to stimulate or block proliferation of thyroid cells</w:t>
      </w:r>
    </w:p>
    <w:p w14:paraId="0042449C" w14:textId="77777777" w:rsidR="00BA3640" w:rsidRPr="00A31829" w:rsidRDefault="00BA3640">
      <w:pPr>
        <w:spacing w:line="44" w:lineRule="exact"/>
        <w:rPr>
          <w:rFonts w:eastAsia="Arial"/>
          <w:b/>
          <w:bCs/>
        </w:rPr>
      </w:pPr>
    </w:p>
    <w:p w14:paraId="094EBD5D" w14:textId="77777777" w:rsidR="00BA3640" w:rsidRPr="00A31829" w:rsidRDefault="00AD5C60">
      <w:pPr>
        <w:numPr>
          <w:ilvl w:val="0"/>
          <w:numId w:val="1"/>
        </w:numPr>
        <w:tabs>
          <w:tab w:val="left" w:pos="360"/>
        </w:tabs>
        <w:ind w:left="360" w:hanging="360"/>
        <w:rPr>
          <w:rFonts w:eastAsia="Arial"/>
          <w:b/>
          <w:bCs/>
        </w:rPr>
      </w:pPr>
      <w:r w:rsidRPr="00A31829">
        <w:rPr>
          <w:rFonts w:eastAsia="Arial"/>
          <w:b/>
          <w:bCs/>
        </w:rPr>
        <w:t>Infiltration of the thyroid gland by T lymphocytes (CD4+ and CD8+ T lymphocytes) and</w:t>
      </w:r>
    </w:p>
    <w:p w14:paraId="2CC33E1A" w14:textId="77777777" w:rsidR="00BA3640" w:rsidRPr="00A31829" w:rsidRDefault="00BA3640">
      <w:pPr>
        <w:spacing w:line="137" w:lineRule="exact"/>
      </w:pPr>
    </w:p>
    <w:p w14:paraId="59323ED4" w14:textId="77777777" w:rsidR="00BA3640" w:rsidRPr="00A31829" w:rsidRDefault="00AD5C60">
      <w:pPr>
        <w:ind w:left="360"/>
      </w:pPr>
      <w:r w:rsidRPr="00A31829">
        <w:rPr>
          <w:rFonts w:eastAsia="Arial"/>
          <w:b/>
          <w:bCs/>
        </w:rPr>
        <w:t>plasma cells</w:t>
      </w:r>
    </w:p>
    <w:p w14:paraId="77A14256" w14:textId="77777777" w:rsidR="00BA3640" w:rsidRPr="00A31829" w:rsidRDefault="00BA3640">
      <w:pPr>
        <w:spacing w:line="170" w:lineRule="exact"/>
      </w:pPr>
    </w:p>
    <w:p w14:paraId="007AD462" w14:textId="77777777" w:rsidR="00BA3640" w:rsidRPr="00A31829" w:rsidRDefault="00AD5C60">
      <w:pPr>
        <w:numPr>
          <w:ilvl w:val="0"/>
          <w:numId w:val="2"/>
        </w:numPr>
        <w:tabs>
          <w:tab w:val="left" w:pos="360"/>
        </w:tabs>
        <w:spacing w:line="370" w:lineRule="auto"/>
        <w:ind w:left="360" w:right="920" w:hanging="360"/>
        <w:rPr>
          <w:rFonts w:eastAsia="Arial"/>
          <w:b/>
          <w:bCs/>
        </w:rPr>
      </w:pPr>
      <w:r w:rsidRPr="00A31829">
        <w:rPr>
          <w:rFonts w:eastAsia="Arial"/>
          <w:b/>
          <w:bCs/>
        </w:rPr>
        <w:t>By injecting thyroid antigen, experimental cell- mediated autoimmune thyroiditis</w:t>
      </w:r>
    </w:p>
    <w:p w14:paraId="03325FE3" w14:textId="77777777" w:rsidR="00BA3640" w:rsidRPr="00A31829" w:rsidRDefault="00BA3640">
      <w:pPr>
        <w:spacing w:line="22" w:lineRule="exact"/>
        <w:rPr>
          <w:rFonts w:eastAsia="Arial"/>
          <w:b/>
          <w:bCs/>
        </w:rPr>
      </w:pPr>
    </w:p>
    <w:p w14:paraId="3E95485B" w14:textId="77777777" w:rsidR="00BA3640" w:rsidRPr="00A31829" w:rsidRDefault="00AD5C60">
      <w:pPr>
        <w:numPr>
          <w:ilvl w:val="0"/>
          <w:numId w:val="2"/>
        </w:numPr>
        <w:tabs>
          <w:tab w:val="left" w:pos="360"/>
        </w:tabs>
        <w:spacing w:line="432" w:lineRule="auto"/>
        <w:ind w:left="360" w:right="920" w:hanging="360"/>
        <w:rPr>
          <w:rFonts w:eastAsia="Arial"/>
          <w:b/>
          <w:bCs/>
        </w:rPr>
      </w:pPr>
      <w:r w:rsidRPr="00A31829">
        <w:rPr>
          <w:rFonts w:eastAsia="Arial"/>
          <w:b/>
          <w:bCs/>
        </w:rPr>
        <w:t>Association with other autoimmune diseases both in the individual and in family</w:t>
      </w:r>
    </w:p>
    <w:p w14:paraId="00059594" w14:textId="77777777" w:rsidR="00BA3640" w:rsidRPr="00A31829" w:rsidRDefault="00BA3640">
      <w:pPr>
        <w:sectPr w:rsidR="00BA3640" w:rsidRPr="00A31829">
          <w:pgSz w:w="12240" w:h="15840"/>
          <w:pgMar w:top="1417" w:right="1400" w:bottom="771" w:left="1440" w:header="0" w:footer="0" w:gutter="0"/>
          <w:cols w:space="720" w:equalWidth="0">
            <w:col w:w="9400"/>
          </w:cols>
        </w:sectPr>
      </w:pPr>
    </w:p>
    <w:p w14:paraId="5BEC0881" w14:textId="7B601F68" w:rsidR="00BA3640" w:rsidRPr="00A31829" w:rsidRDefault="00A31829" w:rsidP="00A31829">
      <w:pPr>
        <w:spacing w:line="399" w:lineRule="auto"/>
        <w:ind w:firstLine="720"/>
        <w:jc w:val="both"/>
        <w:rPr>
          <w:sz w:val="24"/>
          <w:szCs w:val="24"/>
        </w:rPr>
      </w:pPr>
      <w:bookmarkStart w:id="5" w:name="page7"/>
      <w:bookmarkEnd w:id="5"/>
      <w:r>
        <w:rPr>
          <w:rFonts w:eastAsia="Arial"/>
          <w:sz w:val="24"/>
          <w:szCs w:val="24"/>
        </w:rPr>
        <w:lastRenderedPageBreak/>
        <w:t>D</w:t>
      </w:r>
      <w:r w:rsidRPr="00A31829">
        <w:rPr>
          <w:rFonts w:eastAsia="Arial"/>
          <w:sz w:val="24"/>
          <w:szCs w:val="24"/>
        </w:rPr>
        <w:t>ifferential diagnosis</w:t>
      </w:r>
      <w:r>
        <w:rPr>
          <w:rFonts w:eastAsia="Arial"/>
          <w:sz w:val="24"/>
          <w:szCs w:val="24"/>
        </w:rPr>
        <w:t xml:space="preserve"> of </w:t>
      </w:r>
      <w:r w:rsidRPr="00A31829">
        <w:rPr>
          <w:rFonts w:eastAsia="Arial"/>
          <w:sz w:val="24"/>
          <w:szCs w:val="24"/>
        </w:rPr>
        <w:t>Hashimoto's thyroiditis includes simple goiter and subacute (De Quervain's) thyroiditis.</w:t>
      </w:r>
      <w:r w:rsidR="00A96524">
        <w:rPr>
          <w:rFonts w:eastAsia="Arial"/>
          <w:sz w:val="24"/>
          <w:szCs w:val="24"/>
        </w:rPr>
        <w:t xml:space="preserve"> </w:t>
      </w:r>
      <w:r w:rsidRPr="00A31829">
        <w:rPr>
          <w:rFonts w:eastAsia="Arial"/>
          <w:sz w:val="24"/>
          <w:szCs w:val="24"/>
        </w:rPr>
        <w:t xml:space="preserve">De Quervain's </w:t>
      </w:r>
      <w:r w:rsidR="00A96524">
        <w:rPr>
          <w:rFonts w:eastAsia="Arial"/>
          <w:sz w:val="24"/>
          <w:szCs w:val="24"/>
        </w:rPr>
        <w:t>thyroiditis is</w:t>
      </w:r>
      <w:r w:rsidRPr="00A31829">
        <w:rPr>
          <w:rFonts w:eastAsia="Arial"/>
          <w:sz w:val="24"/>
          <w:szCs w:val="24"/>
        </w:rPr>
        <w:t xml:space="preserve"> granulomatous inflammation of the thyroid gland caused by viruses (</w:t>
      </w:r>
      <w:r w:rsidR="00224811">
        <w:rPr>
          <w:rFonts w:eastAsia="Arial"/>
          <w:i/>
          <w:iCs/>
          <w:sz w:val="24"/>
          <w:szCs w:val="24"/>
        </w:rPr>
        <w:t>M</w:t>
      </w:r>
      <w:r w:rsidRPr="00A31829">
        <w:rPr>
          <w:rFonts w:eastAsia="Arial"/>
          <w:i/>
          <w:iCs/>
          <w:sz w:val="24"/>
          <w:szCs w:val="24"/>
        </w:rPr>
        <w:t xml:space="preserve">umps, </w:t>
      </w:r>
      <w:r w:rsidR="00224811" w:rsidRPr="00224811">
        <w:rPr>
          <w:rFonts w:eastAsia="Arial"/>
          <w:i/>
          <w:iCs/>
          <w:sz w:val="24"/>
          <w:szCs w:val="24"/>
        </w:rPr>
        <w:t>Coxsackieviruses</w:t>
      </w:r>
      <w:r w:rsidRPr="00A31829">
        <w:rPr>
          <w:rFonts w:eastAsia="Arial"/>
          <w:i/>
          <w:iCs/>
          <w:sz w:val="24"/>
          <w:szCs w:val="24"/>
        </w:rPr>
        <w:t xml:space="preserve">, </w:t>
      </w:r>
      <w:r w:rsidR="00224811">
        <w:rPr>
          <w:rFonts w:eastAsia="Arial"/>
          <w:i/>
          <w:iCs/>
          <w:sz w:val="24"/>
          <w:szCs w:val="24"/>
        </w:rPr>
        <w:t>I</w:t>
      </w:r>
      <w:r w:rsidRPr="00A31829">
        <w:rPr>
          <w:rFonts w:eastAsia="Arial"/>
          <w:i/>
          <w:iCs/>
          <w:sz w:val="24"/>
          <w:szCs w:val="24"/>
        </w:rPr>
        <w:t xml:space="preserve">nfluenza, </w:t>
      </w:r>
      <w:r w:rsidR="00224811">
        <w:rPr>
          <w:rFonts w:eastAsia="Arial"/>
          <w:i/>
          <w:iCs/>
          <w:sz w:val="24"/>
          <w:szCs w:val="24"/>
        </w:rPr>
        <w:t>A</w:t>
      </w:r>
      <w:r w:rsidRPr="00A31829">
        <w:rPr>
          <w:rFonts w:eastAsia="Arial"/>
          <w:i/>
          <w:iCs/>
          <w:sz w:val="24"/>
          <w:szCs w:val="24"/>
        </w:rPr>
        <w:t>denoviruses</w:t>
      </w:r>
      <w:r>
        <w:rPr>
          <w:rFonts w:eastAsia="Arial"/>
          <w:i/>
          <w:iCs/>
          <w:sz w:val="24"/>
          <w:szCs w:val="24"/>
        </w:rPr>
        <w:t xml:space="preserve"> </w:t>
      </w:r>
      <w:r w:rsidRPr="00A31829">
        <w:rPr>
          <w:rFonts w:eastAsia="Arial"/>
          <w:sz w:val="24"/>
          <w:szCs w:val="24"/>
        </w:rPr>
        <w:t>and</w:t>
      </w:r>
      <w:r>
        <w:rPr>
          <w:rFonts w:eastAsia="Arial"/>
          <w:sz w:val="24"/>
          <w:szCs w:val="24"/>
        </w:rPr>
        <w:t xml:space="preserve"> </w:t>
      </w:r>
      <w:r w:rsidR="00224811">
        <w:rPr>
          <w:rFonts w:eastAsia="Arial"/>
          <w:i/>
          <w:iCs/>
          <w:sz w:val="24"/>
          <w:szCs w:val="24"/>
        </w:rPr>
        <w:t>E</w:t>
      </w:r>
      <w:r w:rsidRPr="00A31829">
        <w:rPr>
          <w:rFonts w:eastAsia="Arial"/>
          <w:i/>
          <w:iCs/>
          <w:sz w:val="24"/>
          <w:szCs w:val="24"/>
        </w:rPr>
        <w:t>choviruses</w:t>
      </w:r>
      <w:r w:rsidRPr="00A31829">
        <w:rPr>
          <w:rFonts w:eastAsia="Arial"/>
          <w:sz w:val="24"/>
          <w:szCs w:val="24"/>
        </w:rPr>
        <w:t>). Initially, the destruction of the follicle occurs with the release of thyroglobulin, T3 and T4, which results in hyperthyroidism. Then follows the recovery phase with the development of transient hypothyroidism. Patients present with pain on the front of the neck that radiates to the lower jaw, elevated body temperature, systemic signs of infection, initially signs of hyperthyroidism and then hypothyroidism. About 70% of patients with subacute thyroiditis have HLA antigen B35, which indicates that the tendency to the disease is partially regulated by MHC genes.</w:t>
      </w:r>
    </w:p>
    <w:p w14:paraId="090F17E8" w14:textId="77777777" w:rsidR="00BA3640" w:rsidRPr="00A31829" w:rsidRDefault="00BA3640">
      <w:pPr>
        <w:spacing w:line="337" w:lineRule="exact"/>
        <w:rPr>
          <w:sz w:val="20"/>
          <w:szCs w:val="20"/>
        </w:rPr>
      </w:pPr>
    </w:p>
    <w:p w14:paraId="2314C6FF" w14:textId="77777777" w:rsidR="00BA3640" w:rsidRPr="00A31829" w:rsidRDefault="00AD5C60">
      <w:pPr>
        <w:tabs>
          <w:tab w:val="left" w:pos="2140"/>
        </w:tabs>
        <w:ind w:left="1000"/>
        <w:rPr>
          <w:sz w:val="20"/>
          <w:szCs w:val="20"/>
        </w:rPr>
      </w:pPr>
      <w:r w:rsidRPr="00A31829">
        <w:rPr>
          <w:rFonts w:eastAsia="Arial"/>
          <w:b/>
          <w:bCs/>
          <w:sz w:val="24"/>
          <w:szCs w:val="24"/>
        </w:rPr>
        <w:t>1.2.3.</w:t>
      </w:r>
      <w:r w:rsidRPr="00A31829">
        <w:rPr>
          <w:sz w:val="24"/>
          <w:szCs w:val="24"/>
        </w:rPr>
        <w:tab/>
      </w:r>
      <w:r w:rsidRPr="00A31829">
        <w:rPr>
          <w:rFonts w:eastAsia="Arial"/>
          <w:b/>
          <w:bCs/>
          <w:sz w:val="23"/>
          <w:szCs w:val="23"/>
        </w:rPr>
        <w:t>Idiopathic thyroid atrophy (myxedema)</w:t>
      </w:r>
    </w:p>
    <w:p w14:paraId="6F22E273" w14:textId="77777777" w:rsidR="00BA3640" w:rsidRPr="00A31829" w:rsidRDefault="00BA3640">
      <w:pPr>
        <w:spacing w:line="200" w:lineRule="exact"/>
        <w:rPr>
          <w:sz w:val="20"/>
          <w:szCs w:val="20"/>
        </w:rPr>
      </w:pPr>
    </w:p>
    <w:p w14:paraId="2856505D" w14:textId="77777777" w:rsidR="00BA3640" w:rsidRPr="00A31829" w:rsidRDefault="00BA3640">
      <w:pPr>
        <w:spacing w:line="385" w:lineRule="exact"/>
        <w:rPr>
          <w:sz w:val="20"/>
          <w:szCs w:val="20"/>
        </w:rPr>
      </w:pPr>
    </w:p>
    <w:p w14:paraId="1255B98F" w14:textId="77777777" w:rsidR="00BA3640" w:rsidRPr="00A31829" w:rsidRDefault="00AD5C60" w:rsidP="00A31829">
      <w:pPr>
        <w:spacing w:line="408" w:lineRule="auto"/>
        <w:ind w:right="20" w:firstLine="720"/>
        <w:jc w:val="both"/>
        <w:rPr>
          <w:sz w:val="24"/>
          <w:szCs w:val="24"/>
        </w:rPr>
      </w:pPr>
      <w:r w:rsidRPr="00A31829">
        <w:rPr>
          <w:rFonts w:eastAsia="Arial"/>
          <w:sz w:val="24"/>
          <w:szCs w:val="24"/>
        </w:rPr>
        <w:t>Myxedema (formerly synonymous with hypothyroidism) today refers to skin and subcutaneous tissue changes seen in patients with severe hypothyroidism. The deposition of a mucinous substance (mucopolysaccharide) affects the thickening of the skin and subcutaneous tissue. The causes of this disease are different (Figure 3). Idiopathic thyroid atrophy, similar to Hashimoto's thyroiditis, is more common in women. Infiltration, fibrosis and atrophy are observed in the tissue of the thyroid gland. Antithyroid antibodies are present in approximately the same titer as in patients with Hashimoto's thyroiditis.</w:t>
      </w:r>
    </w:p>
    <w:p w14:paraId="7DBC5825" w14:textId="77777777" w:rsidR="00BA3640" w:rsidRPr="00A31829" w:rsidRDefault="00BA3640" w:rsidP="00A31829">
      <w:pPr>
        <w:spacing w:line="2" w:lineRule="exact"/>
        <w:jc w:val="both"/>
        <w:rPr>
          <w:sz w:val="24"/>
          <w:szCs w:val="24"/>
        </w:rPr>
      </w:pPr>
    </w:p>
    <w:p w14:paraId="3D8E824C" w14:textId="77777777" w:rsidR="00BA3640" w:rsidRPr="00A31829" w:rsidRDefault="00AD5C60" w:rsidP="00A31829">
      <w:pPr>
        <w:spacing w:line="412" w:lineRule="auto"/>
        <w:ind w:right="100" w:firstLine="720"/>
        <w:jc w:val="both"/>
        <w:rPr>
          <w:sz w:val="24"/>
          <w:szCs w:val="24"/>
        </w:rPr>
      </w:pPr>
      <w:r w:rsidRPr="00A31829">
        <w:rPr>
          <w:rFonts w:eastAsia="Arial"/>
          <w:sz w:val="24"/>
          <w:szCs w:val="24"/>
        </w:rPr>
        <w:t>The pathogenesis of idiopathic thyroid atrophy involves antibodies that block both the growth and metabolism of thyroid cells. Primary antibodies that react with the TSH receptor or with another antigen on the membrane are thought to be generated for an unknown reason. Maternal growth-blocking antibodies may play a role in the absence of intrauterine thyroid development, resulting in thyroid cretinism.</w:t>
      </w:r>
    </w:p>
    <w:p w14:paraId="1F296505" w14:textId="77777777" w:rsidR="00BA3640" w:rsidRPr="00A31829" w:rsidRDefault="00BA3640" w:rsidP="00A31829">
      <w:pPr>
        <w:jc w:val="both"/>
        <w:rPr>
          <w:sz w:val="24"/>
          <w:szCs w:val="24"/>
        </w:rPr>
        <w:sectPr w:rsidR="00BA3640" w:rsidRPr="00A31829">
          <w:pgSz w:w="12240" w:h="15840"/>
          <w:pgMar w:top="1440" w:right="1380" w:bottom="738" w:left="1440" w:header="0" w:footer="0" w:gutter="0"/>
          <w:cols w:space="720" w:equalWidth="0">
            <w:col w:w="9420"/>
          </w:cols>
        </w:sectPr>
      </w:pPr>
    </w:p>
    <w:p w14:paraId="12152844" w14:textId="77777777" w:rsidR="00BA3640" w:rsidRPr="00A31829" w:rsidRDefault="00BA3640" w:rsidP="00A31829">
      <w:pPr>
        <w:spacing w:line="335" w:lineRule="exact"/>
        <w:jc w:val="both"/>
        <w:rPr>
          <w:sz w:val="24"/>
          <w:szCs w:val="24"/>
        </w:rPr>
      </w:pPr>
    </w:p>
    <w:p w14:paraId="50B67C10" w14:textId="77777777" w:rsidR="00BA3640" w:rsidRPr="00A31829" w:rsidRDefault="00AD5C60" w:rsidP="00A31829">
      <w:pPr>
        <w:spacing w:line="442" w:lineRule="auto"/>
        <w:ind w:right="120" w:firstLine="720"/>
        <w:jc w:val="both"/>
        <w:rPr>
          <w:sz w:val="24"/>
          <w:szCs w:val="24"/>
        </w:rPr>
      </w:pPr>
      <w:r w:rsidRPr="00A31829">
        <w:rPr>
          <w:rFonts w:eastAsia="Arial"/>
          <w:sz w:val="24"/>
          <w:szCs w:val="24"/>
        </w:rPr>
        <w:t>As with Graves' disease, genetic predisposition to autoimmune hypothyroidism and Hashimoto's thyroiditis is associated with gene polymorphisms in the MHC locus as well as the CTLA-4 gene.</w:t>
      </w:r>
    </w:p>
    <w:p w14:paraId="03C256F8" w14:textId="77777777" w:rsidR="00BA3640" w:rsidRPr="00A31829" w:rsidRDefault="00BA3640" w:rsidP="00A31829">
      <w:pPr>
        <w:jc w:val="both"/>
        <w:rPr>
          <w:sz w:val="24"/>
          <w:szCs w:val="24"/>
        </w:rPr>
        <w:sectPr w:rsidR="00BA3640" w:rsidRPr="00A31829">
          <w:type w:val="continuous"/>
          <w:pgSz w:w="12240" w:h="15840"/>
          <w:pgMar w:top="1440" w:right="1380" w:bottom="738" w:left="1440" w:header="0" w:footer="0" w:gutter="0"/>
          <w:cols w:space="720" w:equalWidth="0">
            <w:col w:w="9420"/>
          </w:cols>
        </w:sectPr>
      </w:pPr>
    </w:p>
    <w:p w14:paraId="518F23D0" w14:textId="77777777" w:rsidR="00BA3640" w:rsidRPr="00A31829" w:rsidRDefault="00AD5C60" w:rsidP="00A31829">
      <w:pPr>
        <w:spacing w:line="391" w:lineRule="auto"/>
        <w:ind w:right="80" w:firstLine="720"/>
        <w:jc w:val="both"/>
        <w:rPr>
          <w:sz w:val="24"/>
          <w:szCs w:val="24"/>
        </w:rPr>
      </w:pPr>
      <w:bookmarkStart w:id="6" w:name="page8"/>
      <w:bookmarkEnd w:id="6"/>
      <w:r w:rsidRPr="00A31829">
        <w:rPr>
          <w:rFonts w:eastAsia="Arial"/>
          <w:sz w:val="24"/>
          <w:szCs w:val="24"/>
        </w:rPr>
        <w:lastRenderedPageBreak/>
        <w:t>Triggers from the external environment are unknown. Smoking, infections, and exposure to high and low iodine levels are all associated with hypothyroidism. Treatment with certain drugs (eg, lithium and IFN-α) can induce autoimmune hypothyroidism. Exposure to radiation (eg, the Chernobyl disaster) is associated with an increased incidence of autoimmune processes in the thyroid.</w:t>
      </w:r>
    </w:p>
    <w:p w14:paraId="7B5DB37B" w14:textId="77777777" w:rsidR="00BA3640" w:rsidRPr="00A31829" w:rsidRDefault="00AD5C60">
      <w:pPr>
        <w:spacing w:line="20" w:lineRule="exact"/>
        <w:rPr>
          <w:sz w:val="20"/>
          <w:szCs w:val="20"/>
        </w:rPr>
      </w:pPr>
      <w:r w:rsidRPr="00A31829">
        <w:rPr>
          <w:noProof/>
          <w:sz w:val="20"/>
          <w:szCs w:val="20"/>
        </w:rPr>
        <w:drawing>
          <wp:anchor distT="0" distB="0" distL="114300" distR="114300" simplePos="0" relativeHeight="251661824" behindDoc="1" locked="0" layoutInCell="0" allowOverlap="1" wp14:anchorId="7CE5F8B1" wp14:editId="1D828D46">
            <wp:simplePos x="0" y="0"/>
            <wp:positionH relativeFrom="column">
              <wp:posOffset>487045</wp:posOffset>
            </wp:positionH>
            <wp:positionV relativeFrom="paragraph">
              <wp:posOffset>403225</wp:posOffset>
            </wp:positionV>
            <wp:extent cx="4825365" cy="292608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4825365" cy="2926080"/>
                    </a:xfrm>
                    <a:prstGeom prst="rect">
                      <a:avLst/>
                    </a:prstGeom>
                    <a:noFill/>
                  </pic:spPr>
                </pic:pic>
              </a:graphicData>
            </a:graphic>
          </wp:anchor>
        </w:drawing>
      </w:r>
    </w:p>
    <w:p w14:paraId="54BB7C7B" w14:textId="77777777" w:rsidR="00BA3640" w:rsidRPr="00A31829" w:rsidRDefault="00BA3640">
      <w:pPr>
        <w:sectPr w:rsidR="00BA3640" w:rsidRPr="00A31829">
          <w:pgSz w:w="12240" w:h="15840"/>
          <w:pgMar w:top="1417" w:right="1440" w:bottom="1440" w:left="1440" w:header="0" w:footer="0" w:gutter="0"/>
          <w:cols w:space="720" w:equalWidth="0">
            <w:col w:w="9360"/>
          </w:cols>
        </w:sectPr>
      </w:pPr>
    </w:p>
    <w:p w14:paraId="37A34BD5" w14:textId="77777777" w:rsidR="00BA3640" w:rsidRPr="00A31829" w:rsidRDefault="00BA3640">
      <w:pPr>
        <w:spacing w:line="200" w:lineRule="exact"/>
        <w:rPr>
          <w:sz w:val="20"/>
          <w:szCs w:val="20"/>
        </w:rPr>
      </w:pPr>
    </w:p>
    <w:p w14:paraId="0EA0F95B" w14:textId="77777777" w:rsidR="00BA3640" w:rsidRPr="00A31829" w:rsidRDefault="00BA3640">
      <w:pPr>
        <w:spacing w:line="200" w:lineRule="exact"/>
        <w:rPr>
          <w:sz w:val="20"/>
          <w:szCs w:val="20"/>
        </w:rPr>
      </w:pPr>
    </w:p>
    <w:p w14:paraId="508ADCC4" w14:textId="77777777" w:rsidR="00BA3640" w:rsidRPr="00A31829" w:rsidRDefault="00BA3640">
      <w:pPr>
        <w:spacing w:line="200" w:lineRule="exact"/>
        <w:rPr>
          <w:sz w:val="20"/>
          <w:szCs w:val="20"/>
        </w:rPr>
      </w:pPr>
    </w:p>
    <w:p w14:paraId="7A443AB1" w14:textId="77777777" w:rsidR="00BA3640" w:rsidRPr="00A31829" w:rsidRDefault="00BA3640">
      <w:pPr>
        <w:spacing w:line="200" w:lineRule="exact"/>
        <w:rPr>
          <w:sz w:val="20"/>
          <w:szCs w:val="20"/>
        </w:rPr>
      </w:pPr>
    </w:p>
    <w:p w14:paraId="268CA34B" w14:textId="77777777" w:rsidR="00BA3640" w:rsidRPr="00A31829" w:rsidRDefault="00BA3640">
      <w:pPr>
        <w:spacing w:line="200" w:lineRule="exact"/>
        <w:rPr>
          <w:sz w:val="20"/>
          <w:szCs w:val="20"/>
        </w:rPr>
      </w:pPr>
    </w:p>
    <w:p w14:paraId="7C614BFC" w14:textId="77777777" w:rsidR="00BA3640" w:rsidRPr="00A31829" w:rsidRDefault="00BA3640">
      <w:pPr>
        <w:spacing w:line="200" w:lineRule="exact"/>
        <w:rPr>
          <w:sz w:val="20"/>
          <w:szCs w:val="20"/>
        </w:rPr>
      </w:pPr>
    </w:p>
    <w:p w14:paraId="3BACF749" w14:textId="77777777" w:rsidR="00BA3640" w:rsidRPr="00A31829" w:rsidRDefault="00BA3640">
      <w:pPr>
        <w:spacing w:line="200" w:lineRule="exact"/>
        <w:rPr>
          <w:sz w:val="20"/>
          <w:szCs w:val="20"/>
        </w:rPr>
      </w:pPr>
    </w:p>
    <w:p w14:paraId="7597855B" w14:textId="77777777" w:rsidR="00BA3640" w:rsidRPr="00A31829" w:rsidRDefault="00BA3640">
      <w:pPr>
        <w:spacing w:line="394" w:lineRule="exact"/>
        <w:rPr>
          <w:sz w:val="20"/>
          <w:szCs w:val="20"/>
        </w:rPr>
      </w:pPr>
    </w:p>
    <w:p w14:paraId="50E3EC18" w14:textId="77777777" w:rsidR="00BA3640" w:rsidRPr="00A31829" w:rsidRDefault="00AD5C60">
      <w:pPr>
        <w:ind w:left="1680"/>
        <w:rPr>
          <w:sz w:val="20"/>
          <w:szCs w:val="20"/>
        </w:rPr>
      </w:pPr>
      <w:r w:rsidRPr="00A31829">
        <w:rPr>
          <w:rFonts w:eastAsia="Arial"/>
          <w:b/>
          <w:bCs/>
          <w:sz w:val="18"/>
          <w:szCs w:val="18"/>
        </w:rPr>
        <w:t>Thyroid diseases</w:t>
      </w:r>
    </w:p>
    <w:p w14:paraId="52E52E42" w14:textId="77777777" w:rsidR="00BA3640" w:rsidRPr="00A31829" w:rsidRDefault="00BA3640">
      <w:pPr>
        <w:spacing w:line="347" w:lineRule="exact"/>
        <w:rPr>
          <w:sz w:val="20"/>
          <w:szCs w:val="20"/>
        </w:rPr>
      </w:pPr>
    </w:p>
    <w:p w14:paraId="3D2C7624" w14:textId="77777777" w:rsidR="00BA3640" w:rsidRPr="0077038F" w:rsidRDefault="00AD5C60">
      <w:pPr>
        <w:ind w:left="840"/>
        <w:rPr>
          <w:sz w:val="18"/>
          <w:szCs w:val="18"/>
        </w:rPr>
      </w:pPr>
      <w:r w:rsidRPr="0077038F">
        <w:rPr>
          <w:rFonts w:eastAsia="Arial"/>
          <w:b/>
          <w:bCs/>
          <w:sz w:val="18"/>
          <w:szCs w:val="18"/>
        </w:rPr>
        <w:t>Inhibition of function</w:t>
      </w:r>
    </w:p>
    <w:p w14:paraId="6DBD0696" w14:textId="77777777" w:rsidR="00BA3640" w:rsidRPr="0077038F" w:rsidRDefault="00BA3640">
      <w:pPr>
        <w:spacing w:line="21" w:lineRule="exact"/>
        <w:rPr>
          <w:sz w:val="18"/>
          <w:szCs w:val="18"/>
        </w:rPr>
      </w:pPr>
    </w:p>
    <w:p w14:paraId="07B29B96" w14:textId="77777777" w:rsidR="00BA3640" w:rsidRPr="0077038F" w:rsidRDefault="00AD5C60">
      <w:pPr>
        <w:ind w:left="840"/>
        <w:rPr>
          <w:sz w:val="18"/>
          <w:szCs w:val="18"/>
        </w:rPr>
      </w:pPr>
      <w:r w:rsidRPr="0077038F">
        <w:rPr>
          <w:rFonts w:eastAsia="Arial"/>
          <w:b/>
          <w:bCs/>
          <w:sz w:val="18"/>
          <w:szCs w:val="18"/>
        </w:rPr>
        <w:t>Iodine deficiency</w:t>
      </w:r>
    </w:p>
    <w:p w14:paraId="6A077CF7" w14:textId="77777777" w:rsidR="00BA3640" w:rsidRPr="0077038F" w:rsidRDefault="00BA3640">
      <w:pPr>
        <w:spacing w:line="21" w:lineRule="exact"/>
        <w:rPr>
          <w:sz w:val="18"/>
          <w:szCs w:val="18"/>
        </w:rPr>
      </w:pPr>
    </w:p>
    <w:p w14:paraId="3C5207C4" w14:textId="77777777" w:rsidR="00BA3640" w:rsidRPr="0077038F" w:rsidRDefault="00AD5C60">
      <w:pPr>
        <w:ind w:left="840"/>
        <w:rPr>
          <w:sz w:val="18"/>
          <w:szCs w:val="18"/>
        </w:rPr>
      </w:pPr>
      <w:r w:rsidRPr="0077038F">
        <w:rPr>
          <w:rFonts w:eastAsia="Arial"/>
          <w:b/>
          <w:bCs/>
          <w:sz w:val="18"/>
          <w:szCs w:val="18"/>
        </w:rPr>
        <w:t>Antithyroid drugs</w:t>
      </w:r>
    </w:p>
    <w:p w14:paraId="3200C398" w14:textId="77777777" w:rsidR="00BA3640" w:rsidRPr="0077038F" w:rsidRDefault="00BA3640">
      <w:pPr>
        <w:spacing w:line="42" w:lineRule="exact"/>
        <w:rPr>
          <w:sz w:val="18"/>
          <w:szCs w:val="18"/>
        </w:rPr>
      </w:pPr>
    </w:p>
    <w:p w14:paraId="625C6C71" w14:textId="77777777" w:rsidR="00BA3640" w:rsidRPr="0077038F" w:rsidRDefault="00AD5C60">
      <w:pPr>
        <w:ind w:left="840"/>
        <w:rPr>
          <w:sz w:val="18"/>
          <w:szCs w:val="18"/>
        </w:rPr>
      </w:pPr>
      <w:r w:rsidRPr="0077038F">
        <w:rPr>
          <w:rFonts w:eastAsia="Arial"/>
          <w:b/>
          <w:bCs/>
          <w:sz w:val="18"/>
          <w:szCs w:val="18"/>
        </w:rPr>
        <w:t>Dyshormonogenesis</w:t>
      </w:r>
    </w:p>
    <w:p w14:paraId="0EB91D2B" w14:textId="77777777" w:rsidR="00BA3640" w:rsidRPr="00A31829" w:rsidRDefault="00BA3640">
      <w:pPr>
        <w:spacing w:line="200" w:lineRule="exact"/>
        <w:rPr>
          <w:sz w:val="20"/>
          <w:szCs w:val="20"/>
        </w:rPr>
      </w:pPr>
    </w:p>
    <w:p w14:paraId="6EA0C699" w14:textId="77777777" w:rsidR="00BA3640" w:rsidRPr="00A31829" w:rsidRDefault="00BA3640">
      <w:pPr>
        <w:spacing w:line="200" w:lineRule="exact"/>
        <w:rPr>
          <w:sz w:val="20"/>
          <w:szCs w:val="20"/>
        </w:rPr>
      </w:pPr>
    </w:p>
    <w:p w14:paraId="28EFBC77" w14:textId="77777777" w:rsidR="00BA3640" w:rsidRPr="00A31829" w:rsidRDefault="00BA3640">
      <w:pPr>
        <w:spacing w:line="315" w:lineRule="exact"/>
        <w:rPr>
          <w:sz w:val="20"/>
          <w:szCs w:val="20"/>
        </w:rPr>
      </w:pPr>
    </w:p>
    <w:p w14:paraId="101DF5D4" w14:textId="77777777" w:rsidR="00BA3640" w:rsidRPr="00A31829" w:rsidRDefault="00AD5C60">
      <w:pPr>
        <w:spacing w:line="356" w:lineRule="auto"/>
        <w:ind w:left="840" w:right="220"/>
        <w:rPr>
          <w:sz w:val="20"/>
          <w:szCs w:val="20"/>
        </w:rPr>
      </w:pPr>
      <w:r w:rsidRPr="00A31829">
        <w:rPr>
          <w:rFonts w:eastAsia="Arial"/>
          <w:b/>
          <w:bCs/>
          <w:sz w:val="18"/>
          <w:szCs w:val="18"/>
        </w:rPr>
        <w:t>Growth inhibition Autoimmune thyroiditis</w:t>
      </w:r>
    </w:p>
    <w:p w14:paraId="686C7C43" w14:textId="77777777" w:rsidR="00BA3640" w:rsidRPr="00A31829" w:rsidRDefault="00AD5C60">
      <w:pPr>
        <w:spacing w:line="20" w:lineRule="exact"/>
        <w:rPr>
          <w:sz w:val="20"/>
          <w:szCs w:val="20"/>
        </w:rPr>
      </w:pPr>
      <w:r w:rsidRPr="00A31829">
        <w:rPr>
          <w:sz w:val="20"/>
          <w:szCs w:val="20"/>
        </w:rPr>
        <w:br w:type="column"/>
      </w:r>
    </w:p>
    <w:p w14:paraId="24E803AA" w14:textId="77777777" w:rsidR="00BA3640" w:rsidRPr="00A31829" w:rsidRDefault="00BA3640">
      <w:pPr>
        <w:spacing w:line="200" w:lineRule="exact"/>
        <w:rPr>
          <w:sz w:val="20"/>
          <w:szCs w:val="20"/>
        </w:rPr>
      </w:pPr>
    </w:p>
    <w:p w14:paraId="73E144C1" w14:textId="77777777" w:rsidR="00BA3640" w:rsidRPr="00A31829" w:rsidRDefault="00BA3640">
      <w:pPr>
        <w:spacing w:line="200" w:lineRule="exact"/>
        <w:rPr>
          <w:sz w:val="20"/>
          <w:szCs w:val="20"/>
        </w:rPr>
      </w:pPr>
    </w:p>
    <w:p w14:paraId="2417A291" w14:textId="77777777" w:rsidR="00BA3640" w:rsidRPr="00A31829" w:rsidRDefault="00BA3640">
      <w:pPr>
        <w:spacing w:line="374" w:lineRule="exact"/>
        <w:rPr>
          <w:sz w:val="20"/>
          <w:szCs w:val="20"/>
        </w:rPr>
      </w:pPr>
    </w:p>
    <w:p w14:paraId="39C4514B" w14:textId="77777777" w:rsidR="00BA3640" w:rsidRPr="00A31829" w:rsidRDefault="00AD5C60">
      <w:pPr>
        <w:ind w:left="80"/>
        <w:rPr>
          <w:sz w:val="20"/>
          <w:szCs w:val="20"/>
        </w:rPr>
      </w:pPr>
      <w:r w:rsidRPr="00A31829">
        <w:rPr>
          <w:rFonts w:eastAsia="Arial"/>
          <w:b/>
          <w:bCs/>
          <w:color w:val="FFFFFF"/>
          <w:sz w:val="21"/>
          <w:szCs w:val="21"/>
        </w:rPr>
        <w:t>Hypothyroidism</w:t>
      </w:r>
    </w:p>
    <w:p w14:paraId="3B6F8210" w14:textId="77777777" w:rsidR="00BA3640" w:rsidRPr="00A31829" w:rsidRDefault="00BA3640">
      <w:pPr>
        <w:spacing w:line="200" w:lineRule="exact"/>
        <w:rPr>
          <w:sz w:val="20"/>
          <w:szCs w:val="20"/>
        </w:rPr>
      </w:pPr>
    </w:p>
    <w:p w14:paraId="3FDD7528" w14:textId="77777777" w:rsidR="00BA3640" w:rsidRPr="00A31829" w:rsidRDefault="00BA3640">
      <w:pPr>
        <w:spacing w:line="200" w:lineRule="exact"/>
        <w:rPr>
          <w:sz w:val="20"/>
          <w:szCs w:val="20"/>
        </w:rPr>
      </w:pPr>
    </w:p>
    <w:p w14:paraId="2DE4551A" w14:textId="77777777" w:rsidR="00BA3640" w:rsidRPr="00A31829" w:rsidRDefault="00BA3640">
      <w:pPr>
        <w:spacing w:line="249" w:lineRule="exact"/>
        <w:rPr>
          <w:sz w:val="20"/>
          <w:szCs w:val="20"/>
        </w:rPr>
      </w:pPr>
    </w:p>
    <w:p w14:paraId="48850AF6" w14:textId="21B7874C" w:rsidR="0077038F" w:rsidRPr="0077038F" w:rsidRDefault="0077038F">
      <w:pPr>
        <w:ind w:right="1340"/>
        <w:jc w:val="right"/>
        <w:rPr>
          <w:rFonts w:eastAsia="Arial"/>
          <w:b/>
          <w:bCs/>
          <w:sz w:val="16"/>
          <w:szCs w:val="16"/>
        </w:rPr>
      </w:pPr>
      <w:r>
        <w:rPr>
          <w:rFonts w:eastAsia="Arial"/>
          <w:b/>
          <w:bCs/>
          <w:sz w:val="18"/>
          <w:szCs w:val="18"/>
        </w:rPr>
        <w:t xml:space="preserve">    </w:t>
      </w:r>
      <w:r w:rsidRPr="0077038F">
        <w:rPr>
          <w:rFonts w:eastAsia="Arial"/>
          <w:b/>
          <w:bCs/>
          <w:sz w:val="16"/>
          <w:szCs w:val="16"/>
        </w:rPr>
        <w:t>Diseases of the pituitary gland</w:t>
      </w:r>
    </w:p>
    <w:p w14:paraId="02C456E7" w14:textId="18577532" w:rsidR="00BA3640" w:rsidRPr="0077038F" w:rsidRDefault="00AD5C60" w:rsidP="0077038F">
      <w:pPr>
        <w:ind w:right="1340"/>
        <w:jc w:val="center"/>
        <w:rPr>
          <w:sz w:val="16"/>
          <w:szCs w:val="16"/>
        </w:rPr>
      </w:pPr>
      <w:r w:rsidRPr="0077038F">
        <w:rPr>
          <w:rFonts w:eastAsia="Arial"/>
          <w:b/>
          <w:bCs/>
          <w:sz w:val="16"/>
          <w:szCs w:val="16"/>
        </w:rPr>
        <w:t xml:space="preserve"> </w:t>
      </w:r>
      <w:r w:rsidR="0077038F" w:rsidRPr="0077038F">
        <w:rPr>
          <w:rFonts w:eastAsia="Arial"/>
          <w:b/>
          <w:bCs/>
          <w:sz w:val="16"/>
          <w:szCs w:val="16"/>
        </w:rPr>
        <w:t xml:space="preserve">                                           </w:t>
      </w:r>
      <w:r w:rsidR="0077038F">
        <w:rPr>
          <w:rFonts w:eastAsia="Arial"/>
          <w:b/>
          <w:bCs/>
          <w:sz w:val="16"/>
          <w:szCs w:val="16"/>
        </w:rPr>
        <w:t>a</w:t>
      </w:r>
      <w:r w:rsidRPr="0077038F">
        <w:rPr>
          <w:rFonts w:eastAsia="Arial"/>
          <w:b/>
          <w:bCs/>
          <w:sz w:val="16"/>
          <w:szCs w:val="16"/>
        </w:rPr>
        <w:t>nd</w:t>
      </w:r>
      <w:r w:rsidR="0077038F" w:rsidRPr="0077038F">
        <w:rPr>
          <w:rFonts w:eastAsia="Arial"/>
          <w:b/>
          <w:bCs/>
          <w:sz w:val="16"/>
          <w:szCs w:val="16"/>
        </w:rPr>
        <w:t xml:space="preserve"> </w:t>
      </w:r>
      <w:r w:rsidRPr="0077038F">
        <w:rPr>
          <w:rFonts w:eastAsia="Arial"/>
          <w:b/>
          <w:bCs/>
          <w:sz w:val="16"/>
          <w:szCs w:val="16"/>
        </w:rPr>
        <w:t>hypothalamus</w:t>
      </w:r>
    </w:p>
    <w:p w14:paraId="41468A4D" w14:textId="77777777" w:rsidR="00BA3640" w:rsidRPr="00A31829" w:rsidRDefault="00BA3640">
      <w:pPr>
        <w:spacing w:line="200" w:lineRule="exact"/>
        <w:rPr>
          <w:sz w:val="20"/>
          <w:szCs w:val="20"/>
        </w:rPr>
      </w:pPr>
    </w:p>
    <w:p w14:paraId="4A347029" w14:textId="77777777" w:rsidR="00BA3640" w:rsidRPr="00A31829" w:rsidRDefault="00BA3640">
      <w:pPr>
        <w:spacing w:line="200" w:lineRule="exact"/>
        <w:rPr>
          <w:sz w:val="20"/>
          <w:szCs w:val="20"/>
        </w:rPr>
      </w:pPr>
    </w:p>
    <w:p w14:paraId="58BFAA9C" w14:textId="77777777" w:rsidR="00BA3640" w:rsidRPr="00A31829" w:rsidRDefault="00BA3640">
      <w:pPr>
        <w:spacing w:line="223" w:lineRule="exact"/>
        <w:rPr>
          <w:sz w:val="20"/>
          <w:szCs w:val="20"/>
        </w:rPr>
      </w:pPr>
    </w:p>
    <w:p w14:paraId="4C011B15" w14:textId="77777777" w:rsidR="00BA3640" w:rsidRPr="0077038F" w:rsidRDefault="00AD5C60">
      <w:pPr>
        <w:rPr>
          <w:sz w:val="18"/>
          <w:szCs w:val="18"/>
        </w:rPr>
      </w:pPr>
      <w:r w:rsidRPr="0077038F">
        <w:rPr>
          <w:rFonts w:eastAsia="Arial"/>
          <w:b/>
          <w:bCs/>
          <w:sz w:val="18"/>
          <w:szCs w:val="18"/>
        </w:rPr>
        <w:t>Destruction of glands</w:t>
      </w:r>
    </w:p>
    <w:p w14:paraId="6178CA7F" w14:textId="77777777" w:rsidR="00BA3640" w:rsidRPr="0077038F" w:rsidRDefault="00BA3640">
      <w:pPr>
        <w:spacing w:line="21" w:lineRule="exact"/>
        <w:rPr>
          <w:sz w:val="18"/>
          <w:szCs w:val="18"/>
        </w:rPr>
      </w:pPr>
    </w:p>
    <w:p w14:paraId="71FD4A1E" w14:textId="77777777" w:rsidR="00BA3640" w:rsidRPr="0077038F" w:rsidRDefault="00AD5C60">
      <w:pPr>
        <w:rPr>
          <w:sz w:val="18"/>
          <w:szCs w:val="18"/>
        </w:rPr>
      </w:pPr>
      <w:r w:rsidRPr="0077038F">
        <w:rPr>
          <w:rFonts w:eastAsia="Arial"/>
          <w:b/>
          <w:bCs/>
          <w:sz w:val="18"/>
          <w:szCs w:val="18"/>
        </w:rPr>
        <w:t>Idiopathic thyroid atrophy</w:t>
      </w:r>
    </w:p>
    <w:p w14:paraId="1D1154E4" w14:textId="77777777" w:rsidR="00BA3640" w:rsidRPr="0077038F" w:rsidRDefault="00BA3640">
      <w:pPr>
        <w:spacing w:line="21" w:lineRule="exact"/>
        <w:rPr>
          <w:sz w:val="18"/>
          <w:szCs w:val="18"/>
        </w:rPr>
      </w:pPr>
    </w:p>
    <w:p w14:paraId="3CF26933" w14:textId="77777777" w:rsidR="00BA3640" w:rsidRPr="0077038F" w:rsidRDefault="00AD5C60">
      <w:pPr>
        <w:rPr>
          <w:sz w:val="18"/>
          <w:szCs w:val="18"/>
        </w:rPr>
      </w:pPr>
      <w:r w:rsidRPr="0077038F">
        <w:rPr>
          <w:rFonts w:eastAsia="Arial"/>
          <w:b/>
          <w:bCs/>
          <w:sz w:val="18"/>
          <w:szCs w:val="18"/>
        </w:rPr>
        <w:t>Autoimmune thyroiditis</w:t>
      </w:r>
    </w:p>
    <w:p w14:paraId="3ABA901C" w14:textId="77777777" w:rsidR="00BA3640" w:rsidRPr="0077038F" w:rsidRDefault="00BA3640">
      <w:pPr>
        <w:spacing w:line="21" w:lineRule="exact"/>
        <w:rPr>
          <w:sz w:val="18"/>
          <w:szCs w:val="18"/>
        </w:rPr>
      </w:pPr>
    </w:p>
    <w:p w14:paraId="2237600F" w14:textId="77777777" w:rsidR="00BA3640" w:rsidRPr="0077038F" w:rsidRDefault="00AD5C60">
      <w:pPr>
        <w:rPr>
          <w:sz w:val="18"/>
          <w:szCs w:val="18"/>
        </w:rPr>
      </w:pPr>
      <w:r w:rsidRPr="0077038F">
        <w:rPr>
          <w:rFonts w:eastAsia="Arial"/>
          <w:b/>
          <w:bCs/>
          <w:sz w:val="18"/>
          <w:szCs w:val="18"/>
        </w:rPr>
        <w:t>(Hashimoto's thyroiditis)</w:t>
      </w:r>
    </w:p>
    <w:p w14:paraId="416CE9C7" w14:textId="77777777" w:rsidR="00BA3640" w:rsidRPr="0077038F" w:rsidRDefault="00BA3640">
      <w:pPr>
        <w:spacing w:line="21" w:lineRule="exact"/>
        <w:rPr>
          <w:sz w:val="18"/>
          <w:szCs w:val="18"/>
        </w:rPr>
      </w:pPr>
    </w:p>
    <w:p w14:paraId="0A515854" w14:textId="77777777" w:rsidR="00BA3640" w:rsidRPr="0077038F" w:rsidRDefault="00AD5C60">
      <w:pPr>
        <w:rPr>
          <w:sz w:val="18"/>
          <w:szCs w:val="18"/>
        </w:rPr>
      </w:pPr>
      <w:r w:rsidRPr="0077038F">
        <w:rPr>
          <w:rFonts w:eastAsia="Arial"/>
          <w:b/>
          <w:bCs/>
          <w:sz w:val="18"/>
          <w:szCs w:val="18"/>
        </w:rPr>
        <w:t>Postviral typhoiditis</w:t>
      </w:r>
    </w:p>
    <w:p w14:paraId="6DB64A9B" w14:textId="77777777" w:rsidR="00BA3640" w:rsidRPr="0077038F" w:rsidRDefault="00BA3640">
      <w:pPr>
        <w:spacing w:line="12" w:lineRule="exact"/>
        <w:rPr>
          <w:sz w:val="18"/>
          <w:szCs w:val="18"/>
        </w:rPr>
      </w:pPr>
    </w:p>
    <w:p w14:paraId="05591014" w14:textId="77777777" w:rsidR="00BA3640" w:rsidRPr="0077038F" w:rsidRDefault="00AD5C60">
      <w:pPr>
        <w:rPr>
          <w:sz w:val="18"/>
          <w:szCs w:val="18"/>
        </w:rPr>
      </w:pPr>
      <w:r w:rsidRPr="0077038F">
        <w:rPr>
          <w:rFonts w:eastAsia="Arial"/>
          <w:b/>
          <w:bCs/>
          <w:sz w:val="18"/>
          <w:szCs w:val="18"/>
        </w:rPr>
        <w:t>(De Quervain's thyroiditis)</w:t>
      </w:r>
    </w:p>
    <w:p w14:paraId="44CA74CE" w14:textId="77777777" w:rsidR="00BA3640" w:rsidRPr="0077038F" w:rsidRDefault="00BA3640">
      <w:pPr>
        <w:spacing w:line="21" w:lineRule="exact"/>
        <w:rPr>
          <w:sz w:val="18"/>
          <w:szCs w:val="18"/>
        </w:rPr>
      </w:pPr>
    </w:p>
    <w:p w14:paraId="25EFDCC0" w14:textId="77777777" w:rsidR="00BA3640" w:rsidRPr="0077038F" w:rsidRDefault="00AD5C60">
      <w:pPr>
        <w:rPr>
          <w:sz w:val="18"/>
          <w:szCs w:val="18"/>
        </w:rPr>
      </w:pPr>
      <w:r w:rsidRPr="0077038F">
        <w:rPr>
          <w:rFonts w:eastAsia="Arial"/>
          <w:b/>
          <w:bCs/>
          <w:sz w:val="18"/>
          <w:szCs w:val="18"/>
        </w:rPr>
        <w:t>Surgical removal</w:t>
      </w:r>
    </w:p>
    <w:p w14:paraId="7DF48A63" w14:textId="77777777" w:rsidR="00BA3640" w:rsidRPr="0077038F" w:rsidRDefault="00BA3640">
      <w:pPr>
        <w:spacing w:line="42" w:lineRule="exact"/>
        <w:rPr>
          <w:sz w:val="18"/>
          <w:szCs w:val="18"/>
        </w:rPr>
      </w:pPr>
    </w:p>
    <w:p w14:paraId="296DF399" w14:textId="77777777" w:rsidR="00BA3640" w:rsidRPr="0077038F" w:rsidRDefault="00AD5C60">
      <w:pPr>
        <w:rPr>
          <w:sz w:val="18"/>
          <w:szCs w:val="18"/>
        </w:rPr>
      </w:pPr>
      <w:r w:rsidRPr="0077038F">
        <w:rPr>
          <w:rFonts w:eastAsia="Arial"/>
          <w:b/>
          <w:bCs/>
          <w:sz w:val="18"/>
          <w:szCs w:val="18"/>
        </w:rPr>
        <w:t>Radiation</w:t>
      </w:r>
    </w:p>
    <w:p w14:paraId="7A270354" w14:textId="77777777" w:rsidR="00BA3640" w:rsidRPr="0077038F" w:rsidRDefault="00BA3640">
      <w:pPr>
        <w:spacing w:line="22" w:lineRule="exact"/>
        <w:rPr>
          <w:sz w:val="18"/>
          <w:szCs w:val="18"/>
        </w:rPr>
      </w:pPr>
    </w:p>
    <w:p w14:paraId="45B7AA0C" w14:textId="77777777" w:rsidR="00BA3640" w:rsidRPr="0077038F" w:rsidRDefault="00AD5C60">
      <w:pPr>
        <w:rPr>
          <w:sz w:val="18"/>
          <w:szCs w:val="18"/>
        </w:rPr>
      </w:pPr>
      <w:r w:rsidRPr="0077038F">
        <w:rPr>
          <w:rFonts w:eastAsia="Arial"/>
          <w:b/>
          <w:bCs/>
          <w:sz w:val="18"/>
          <w:szCs w:val="18"/>
        </w:rPr>
        <w:t>Transient postpartum</w:t>
      </w:r>
    </w:p>
    <w:p w14:paraId="32036401" w14:textId="77777777" w:rsidR="00BA3640" w:rsidRPr="0077038F" w:rsidRDefault="00BA3640">
      <w:pPr>
        <w:spacing w:line="21" w:lineRule="exact"/>
        <w:rPr>
          <w:sz w:val="18"/>
          <w:szCs w:val="18"/>
        </w:rPr>
      </w:pPr>
    </w:p>
    <w:p w14:paraId="47204571" w14:textId="77777777" w:rsidR="00BA3640" w:rsidRPr="0077038F" w:rsidRDefault="00AD5C60">
      <w:pPr>
        <w:rPr>
          <w:sz w:val="18"/>
          <w:szCs w:val="18"/>
        </w:rPr>
      </w:pPr>
      <w:r w:rsidRPr="0077038F">
        <w:rPr>
          <w:rFonts w:eastAsia="Arial"/>
          <w:b/>
          <w:bCs/>
          <w:sz w:val="18"/>
          <w:szCs w:val="18"/>
        </w:rPr>
        <w:t>hypothyroidism</w:t>
      </w:r>
    </w:p>
    <w:p w14:paraId="3C14DA0A" w14:textId="77777777" w:rsidR="00BA3640" w:rsidRPr="00A31829" w:rsidRDefault="00BA3640">
      <w:pPr>
        <w:spacing w:line="200" w:lineRule="exact"/>
        <w:rPr>
          <w:sz w:val="20"/>
          <w:szCs w:val="20"/>
        </w:rPr>
      </w:pPr>
    </w:p>
    <w:p w14:paraId="06FD913F" w14:textId="77777777" w:rsidR="00BA3640" w:rsidRPr="00A31829" w:rsidRDefault="00BA3640">
      <w:pPr>
        <w:sectPr w:rsidR="00BA3640" w:rsidRPr="00A31829">
          <w:type w:val="continuous"/>
          <w:pgSz w:w="12240" w:h="15840"/>
          <w:pgMar w:top="1417" w:right="1440" w:bottom="1440" w:left="1440" w:header="0" w:footer="0" w:gutter="0"/>
          <w:cols w:num="2" w:space="720" w:equalWidth="0">
            <w:col w:w="3180" w:space="440"/>
            <w:col w:w="5740"/>
          </w:cols>
        </w:sectPr>
      </w:pPr>
    </w:p>
    <w:p w14:paraId="48B9C8AC" w14:textId="77777777" w:rsidR="00BA3640" w:rsidRPr="00A31829" w:rsidRDefault="00BA3640">
      <w:pPr>
        <w:spacing w:line="200" w:lineRule="exact"/>
        <w:rPr>
          <w:sz w:val="20"/>
          <w:szCs w:val="20"/>
        </w:rPr>
      </w:pPr>
    </w:p>
    <w:p w14:paraId="1A543D76" w14:textId="77777777" w:rsidR="00BA3640" w:rsidRPr="00A31829" w:rsidRDefault="00BA3640">
      <w:pPr>
        <w:spacing w:line="200" w:lineRule="exact"/>
        <w:rPr>
          <w:sz w:val="20"/>
          <w:szCs w:val="20"/>
        </w:rPr>
      </w:pPr>
    </w:p>
    <w:p w14:paraId="2CC69C94" w14:textId="77777777" w:rsidR="00BA3640" w:rsidRPr="00A31829" w:rsidRDefault="00BA3640">
      <w:pPr>
        <w:spacing w:line="200" w:lineRule="exact"/>
        <w:rPr>
          <w:sz w:val="20"/>
          <w:szCs w:val="20"/>
        </w:rPr>
      </w:pPr>
    </w:p>
    <w:p w14:paraId="5A71A2E5" w14:textId="77777777" w:rsidR="00BA3640" w:rsidRPr="00A31829" w:rsidRDefault="00BA3640">
      <w:pPr>
        <w:spacing w:line="236" w:lineRule="exact"/>
        <w:rPr>
          <w:sz w:val="20"/>
          <w:szCs w:val="20"/>
        </w:rPr>
      </w:pPr>
    </w:p>
    <w:p w14:paraId="54830FD2" w14:textId="77777777" w:rsidR="00BA3640" w:rsidRPr="0077038F" w:rsidRDefault="00AD5C60">
      <w:pPr>
        <w:ind w:right="60"/>
        <w:jc w:val="center"/>
        <w:rPr>
          <w:sz w:val="24"/>
          <w:szCs w:val="24"/>
        </w:rPr>
      </w:pPr>
      <w:r w:rsidRPr="0077038F">
        <w:rPr>
          <w:rFonts w:eastAsia="Arial"/>
          <w:b/>
          <w:bCs/>
          <w:sz w:val="24"/>
          <w:szCs w:val="24"/>
          <w:u w:val="single"/>
        </w:rPr>
        <w:t>Figure 3.</w:t>
      </w:r>
      <w:r w:rsidRPr="0077038F">
        <w:rPr>
          <w:rFonts w:eastAsia="Arial"/>
          <w:b/>
          <w:bCs/>
          <w:sz w:val="24"/>
          <w:szCs w:val="24"/>
        </w:rPr>
        <w:t xml:space="preserve"> . Causes of hypothyroidism</w:t>
      </w:r>
    </w:p>
    <w:p w14:paraId="4302C2F5" w14:textId="77777777" w:rsidR="00BA3640" w:rsidRPr="00A31829" w:rsidRDefault="00BA3640">
      <w:pPr>
        <w:sectPr w:rsidR="00BA3640" w:rsidRPr="00A31829">
          <w:type w:val="continuous"/>
          <w:pgSz w:w="12240" w:h="15840"/>
          <w:pgMar w:top="1417" w:right="1440" w:bottom="1440" w:left="1440" w:header="0" w:footer="0" w:gutter="0"/>
          <w:cols w:space="720" w:equalWidth="0">
            <w:col w:w="9360"/>
          </w:cols>
        </w:sectPr>
      </w:pPr>
    </w:p>
    <w:p w14:paraId="5BFDF869" w14:textId="77777777" w:rsidR="00BA3640" w:rsidRPr="00A31829" w:rsidRDefault="00AD5C60">
      <w:pPr>
        <w:ind w:left="120"/>
        <w:rPr>
          <w:sz w:val="20"/>
          <w:szCs w:val="20"/>
        </w:rPr>
      </w:pPr>
      <w:bookmarkStart w:id="7" w:name="page9"/>
      <w:bookmarkEnd w:id="7"/>
      <w:r w:rsidRPr="00A31829">
        <w:rPr>
          <w:rFonts w:eastAsia="Arial"/>
          <w:b/>
          <w:bCs/>
          <w:color w:val="244061"/>
          <w:sz w:val="27"/>
          <w:szCs w:val="27"/>
        </w:rPr>
        <w:lastRenderedPageBreak/>
        <w:t>THE IMMUNE BASIS OF DIABETES MELLITUS TYPE 1</w:t>
      </w:r>
    </w:p>
    <w:p w14:paraId="392FB1F5" w14:textId="77777777" w:rsidR="00BA3640" w:rsidRPr="00A31829" w:rsidRDefault="00BA3640">
      <w:pPr>
        <w:spacing w:line="200" w:lineRule="exact"/>
        <w:rPr>
          <w:sz w:val="20"/>
          <w:szCs w:val="20"/>
        </w:rPr>
      </w:pPr>
    </w:p>
    <w:p w14:paraId="75CAC75D" w14:textId="77777777" w:rsidR="00BA3640" w:rsidRPr="00A31829" w:rsidRDefault="00BA3640">
      <w:pPr>
        <w:spacing w:line="200" w:lineRule="exact"/>
        <w:rPr>
          <w:sz w:val="20"/>
          <w:szCs w:val="20"/>
        </w:rPr>
      </w:pPr>
    </w:p>
    <w:p w14:paraId="7F4F1FEF" w14:textId="77777777" w:rsidR="00BA3640" w:rsidRPr="00A31829" w:rsidRDefault="00BA3640">
      <w:pPr>
        <w:spacing w:line="200" w:lineRule="exact"/>
        <w:rPr>
          <w:sz w:val="20"/>
          <w:szCs w:val="20"/>
        </w:rPr>
      </w:pPr>
    </w:p>
    <w:p w14:paraId="19891C6C" w14:textId="77777777" w:rsidR="00BA3640" w:rsidRPr="00A31829" w:rsidRDefault="00BA3640">
      <w:pPr>
        <w:spacing w:line="200" w:lineRule="exact"/>
        <w:rPr>
          <w:sz w:val="20"/>
          <w:szCs w:val="20"/>
        </w:rPr>
      </w:pPr>
    </w:p>
    <w:p w14:paraId="3C1413CE" w14:textId="77777777" w:rsidR="00BA3640" w:rsidRPr="00A31829" w:rsidRDefault="00BA3640">
      <w:pPr>
        <w:spacing w:line="200" w:lineRule="exact"/>
        <w:rPr>
          <w:sz w:val="20"/>
          <w:szCs w:val="20"/>
        </w:rPr>
      </w:pPr>
    </w:p>
    <w:p w14:paraId="27990123" w14:textId="77777777" w:rsidR="00BA3640" w:rsidRPr="00A31829" w:rsidRDefault="00BA3640">
      <w:pPr>
        <w:spacing w:line="392" w:lineRule="exact"/>
        <w:rPr>
          <w:sz w:val="20"/>
          <w:szCs w:val="20"/>
        </w:rPr>
      </w:pPr>
    </w:p>
    <w:p w14:paraId="33CD6286" w14:textId="24E83D5E" w:rsidR="00BA3640" w:rsidRPr="00A31829" w:rsidRDefault="00AD5C60" w:rsidP="00A31829">
      <w:pPr>
        <w:pStyle w:val="ListParagraph"/>
        <w:numPr>
          <w:ilvl w:val="1"/>
          <w:numId w:val="3"/>
        </w:numPr>
        <w:rPr>
          <w:rFonts w:eastAsia="Arial"/>
          <w:b/>
          <w:bCs/>
          <w:sz w:val="24"/>
          <w:szCs w:val="24"/>
        </w:rPr>
      </w:pPr>
      <w:r w:rsidRPr="00A31829">
        <w:rPr>
          <w:rFonts w:eastAsia="Arial"/>
          <w:b/>
          <w:bCs/>
          <w:sz w:val="24"/>
          <w:szCs w:val="24"/>
        </w:rPr>
        <w:t>Introduction</w:t>
      </w:r>
    </w:p>
    <w:p w14:paraId="7AC2F970" w14:textId="77777777" w:rsidR="00A31829" w:rsidRPr="00A31829" w:rsidRDefault="00A31829" w:rsidP="00A31829">
      <w:pPr>
        <w:pStyle w:val="ListParagraph"/>
        <w:ind w:left="480"/>
        <w:rPr>
          <w:b/>
          <w:bCs/>
          <w:sz w:val="24"/>
          <w:szCs w:val="24"/>
        </w:rPr>
      </w:pPr>
    </w:p>
    <w:p w14:paraId="69497B1B" w14:textId="77777777" w:rsidR="00BA3640" w:rsidRPr="00A31829" w:rsidRDefault="00BA3640">
      <w:pPr>
        <w:spacing w:line="139" w:lineRule="exact"/>
        <w:rPr>
          <w:sz w:val="24"/>
          <w:szCs w:val="24"/>
        </w:rPr>
      </w:pPr>
    </w:p>
    <w:p w14:paraId="43049F23" w14:textId="77777777" w:rsidR="00BA3640" w:rsidRPr="00A31829" w:rsidRDefault="00AD5C60" w:rsidP="00A31829">
      <w:pPr>
        <w:spacing w:line="480" w:lineRule="auto"/>
        <w:ind w:left="120" w:right="280" w:firstLine="288"/>
        <w:jc w:val="both"/>
        <w:rPr>
          <w:sz w:val="24"/>
          <w:szCs w:val="24"/>
        </w:rPr>
      </w:pPr>
      <w:r w:rsidRPr="00A31829">
        <w:rPr>
          <w:rFonts w:eastAsia="Arial"/>
          <w:sz w:val="24"/>
          <w:szCs w:val="24"/>
        </w:rPr>
        <w:t>Diabetes mellitus is a group of metabolic diseases characterized by hyperglycemia, i.e. permanent increase in blood glucose level. Hyperglycemia causes classic symptoms and signs of diabetes, namely polyuria (frequent urination), polydipsia (increased thirst) and polyphagia (increased hunger). Diabetes occurs due to reduced secretion or reduced biological effect of insulin.</w:t>
      </w:r>
    </w:p>
    <w:p w14:paraId="2359E3DF" w14:textId="77777777" w:rsidR="00BA3640" w:rsidRPr="00A31829" w:rsidRDefault="00BA3640" w:rsidP="00A31829">
      <w:pPr>
        <w:spacing w:line="480" w:lineRule="auto"/>
        <w:jc w:val="both"/>
        <w:rPr>
          <w:sz w:val="24"/>
          <w:szCs w:val="24"/>
        </w:rPr>
      </w:pPr>
    </w:p>
    <w:p w14:paraId="4A87B9E7" w14:textId="77777777" w:rsidR="00BA3640" w:rsidRPr="00A31829" w:rsidRDefault="00AD5C60" w:rsidP="00A31829">
      <w:pPr>
        <w:spacing w:line="480" w:lineRule="auto"/>
        <w:ind w:left="120" w:right="280" w:firstLine="288"/>
        <w:jc w:val="both"/>
        <w:rPr>
          <w:sz w:val="24"/>
          <w:szCs w:val="24"/>
        </w:rPr>
      </w:pPr>
      <w:r w:rsidRPr="00A31829">
        <w:rPr>
          <w:rFonts w:eastAsia="Arial"/>
          <w:sz w:val="24"/>
          <w:szCs w:val="24"/>
        </w:rPr>
        <w:t>There are two basic types of diabetes. Insulin-Dependent Diabetes Mellitus (IDDM, English Insulin-Dependent Diabetes Mellitus, juvenile diabetes or type 1 diabetes) which occurs as a result of reduced insulin production in the pancreas and Insulin-Independent Diabetes Mellitus (NIDDM, English Non-Insulin-Dependent Diabetes Mellitus) , or type 2 diabetes). which occurs due to the reduced biological effect of insulin as a result of the development of insulin resistance. The characteristics of these two types of diabetes are shown in table 1.</w:t>
      </w:r>
    </w:p>
    <w:p w14:paraId="53F3AF3B" w14:textId="77777777" w:rsidR="00BA3640" w:rsidRPr="00A31829" w:rsidRDefault="00BA3640">
      <w:pPr>
        <w:spacing w:line="99" w:lineRule="exact"/>
        <w:rPr>
          <w:sz w:val="20"/>
          <w:szCs w:val="20"/>
        </w:rPr>
      </w:pPr>
    </w:p>
    <w:p w14:paraId="46963BE1" w14:textId="77777777" w:rsidR="00BA3640" w:rsidRPr="00A31829" w:rsidRDefault="00AD5C60">
      <w:pPr>
        <w:ind w:left="400"/>
        <w:rPr>
          <w:sz w:val="20"/>
          <w:szCs w:val="20"/>
        </w:rPr>
      </w:pPr>
      <w:r w:rsidRPr="00A31829">
        <w:rPr>
          <w:rFonts w:eastAsia="Arial"/>
          <w:b/>
          <w:bCs/>
          <w:i/>
          <w:iCs/>
          <w:sz w:val="23"/>
          <w:szCs w:val="23"/>
        </w:rPr>
        <w:t>Table 1.</w:t>
      </w:r>
    </w:p>
    <w:p w14:paraId="0C841197" w14:textId="77777777" w:rsidR="00BA3640" w:rsidRPr="00A31829" w:rsidRDefault="00BA3640">
      <w:pPr>
        <w:spacing w:line="346"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4900"/>
        <w:gridCol w:w="2800"/>
        <w:gridCol w:w="1900"/>
      </w:tblGrid>
      <w:tr w:rsidR="00BA3640" w:rsidRPr="00A31829" w14:paraId="11734C4B" w14:textId="77777777">
        <w:trPr>
          <w:trHeight w:val="291"/>
        </w:trPr>
        <w:tc>
          <w:tcPr>
            <w:tcW w:w="4900" w:type="dxa"/>
            <w:tcBorders>
              <w:top w:val="single" w:sz="8" w:space="0" w:color="E5B8B7"/>
              <w:left w:val="single" w:sz="8" w:space="0" w:color="E5B8B7"/>
              <w:right w:val="single" w:sz="8" w:space="0" w:color="E5B8B7"/>
            </w:tcBorders>
            <w:vAlign w:val="bottom"/>
          </w:tcPr>
          <w:p w14:paraId="41A38215" w14:textId="77777777" w:rsidR="00BA3640" w:rsidRPr="00A31829" w:rsidRDefault="00AD5C60">
            <w:pPr>
              <w:ind w:left="120"/>
              <w:rPr>
                <w:sz w:val="20"/>
                <w:szCs w:val="20"/>
              </w:rPr>
            </w:pPr>
            <w:r w:rsidRPr="00A31829">
              <w:rPr>
                <w:rFonts w:eastAsia="Arial"/>
                <w:b/>
                <w:bCs/>
                <w:sz w:val="19"/>
                <w:szCs w:val="19"/>
              </w:rPr>
              <w:t>Characteristics</w:t>
            </w:r>
          </w:p>
        </w:tc>
        <w:tc>
          <w:tcPr>
            <w:tcW w:w="2800" w:type="dxa"/>
            <w:tcBorders>
              <w:top w:val="single" w:sz="8" w:space="0" w:color="E5B8B7"/>
              <w:right w:val="single" w:sz="8" w:space="0" w:color="E5B8B7"/>
            </w:tcBorders>
            <w:vAlign w:val="bottom"/>
          </w:tcPr>
          <w:p w14:paraId="38C22A42" w14:textId="77777777" w:rsidR="00BA3640" w:rsidRPr="00A31829" w:rsidRDefault="00AD5C60">
            <w:pPr>
              <w:ind w:left="100"/>
              <w:rPr>
                <w:sz w:val="20"/>
                <w:szCs w:val="20"/>
              </w:rPr>
            </w:pPr>
            <w:r w:rsidRPr="00A31829">
              <w:rPr>
                <w:rFonts w:eastAsia="Arial"/>
                <w:b/>
                <w:bCs/>
                <w:sz w:val="15"/>
                <w:szCs w:val="15"/>
              </w:rPr>
              <w:t>Type 1</w:t>
            </w:r>
          </w:p>
        </w:tc>
        <w:tc>
          <w:tcPr>
            <w:tcW w:w="1900" w:type="dxa"/>
            <w:tcBorders>
              <w:top w:val="single" w:sz="8" w:space="0" w:color="E5B8B7"/>
              <w:right w:val="single" w:sz="8" w:space="0" w:color="E5B8B7"/>
            </w:tcBorders>
            <w:vAlign w:val="bottom"/>
          </w:tcPr>
          <w:p w14:paraId="0BDBFC86" w14:textId="77777777" w:rsidR="00BA3640" w:rsidRPr="00A31829" w:rsidRDefault="00AD5C60">
            <w:pPr>
              <w:ind w:left="80"/>
              <w:rPr>
                <w:sz w:val="20"/>
                <w:szCs w:val="20"/>
              </w:rPr>
            </w:pPr>
            <w:r w:rsidRPr="00A31829">
              <w:rPr>
                <w:rFonts w:eastAsia="Arial"/>
                <w:b/>
                <w:bCs/>
                <w:sz w:val="15"/>
                <w:szCs w:val="15"/>
              </w:rPr>
              <w:t>Type 2</w:t>
            </w:r>
          </w:p>
        </w:tc>
      </w:tr>
      <w:tr w:rsidR="00BA3640" w:rsidRPr="00A31829" w14:paraId="675FC59C" w14:textId="77777777">
        <w:trPr>
          <w:trHeight w:val="56"/>
        </w:trPr>
        <w:tc>
          <w:tcPr>
            <w:tcW w:w="4900" w:type="dxa"/>
            <w:tcBorders>
              <w:left w:val="single" w:sz="8" w:space="0" w:color="E5B8B7"/>
              <w:bottom w:val="single" w:sz="8" w:space="0" w:color="E5B8B7"/>
              <w:right w:val="single" w:sz="8" w:space="0" w:color="E5B8B7"/>
            </w:tcBorders>
            <w:vAlign w:val="bottom"/>
          </w:tcPr>
          <w:p w14:paraId="0F4281C9" w14:textId="77777777" w:rsidR="00BA3640" w:rsidRPr="00A31829" w:rsidRDefault="00BA3640">
            <w:pPr>
              <w:rPr>
                <w:sz w:val="4"/>
                <w:szCs w:val="4"/>
              </w:rPr>
            </w:pPr>
          </w:p>
        </w:tc>
        <w:tc>
          <w:tcPr>
            <w:tcW w:w="2800" w:type="dxa"/>
            <w:tcBorders>
              <w:bottom w:val="single" w:sz="8" w:space="0" w:color="E5B8B7"/>
              <w:right w:val="single" w:sz="8" w:space="0" w:color="E5B8B7"/>
            </w:tcBorders>
            <w:vAlign w:val="bottom"/>
          </w:tcPr>
          <w:p w14:paraId="0579B9C4" w14:textId="77777777" w:rsidR="00BA3640" w:rsidRPr="00A31829" w:rsidRDefault="00BA3640">
            <w:pPr>
              <w:rPr>
                <w:sz w:val="4"/>
                <w:szCs w:val="4"/>
              </w:rPr>
            </w:pPr>
          </w:p>
        </w:tc>
        <w:tc>
          <w:tcPr>
            <w:tcW w:w="1900" w:type="dxa"/>
            <w:tcBorders>
              <w:bottom w:val="single" w:sz="8" w:space="0" w:color="E5B8B7"/>
              <w:right w:val="single" w:sz="8" w:space="0" w:color="E5B8B7"/>
            </w:tcBorders>
            <w:vAlign w:val="bottom"/>
          </w:tcPr>
          <w:p w14:paraId="29D83B18" w14:textId="77777777" w:rsidR="00BA3640" w:rsidRPr="00A31829" w:rsidRDefault="00BA3640">
            <w:pPr>
              <w:rPr>
                <w:sz w:val="4"/>
                <w:szCs w:val="4"/>
              </w:rPr>
            </w:pPr>
          </w:p>
        </w:tc>
      </w:tr>
      <w:tr w:rsidR="00BA3640" w:rsidRPr="00A31829" w14:paraId="526230CF" w14:textId="77777777">
        <w:trPr>
          <w:trHeight w:val="265"/>
        </w:trPr>
        <w:tc>
          <w:tcPr>
            <w:tcW w:w="4900" w:type="dxa"/>
            <w:tcBorders>
              <w:left w:val="single" w:sz="8" w:space="0" w:color="E5B8B7"/>
              <w:right w:val="single" w:sz="8" w:space="0" w:color="E5B8B7"/>
            </w:tcBorders>
            <w:vAlign w:val="bottom"/>
          </w:tcPr>
          <w:p w14:paraId="602CCCDC" w14:textId="77777777" w:rsidR="00BA3640" w:rsidRPr="00A31829" w:rsidRDefault="00AD5C60">
            <w:pPr>
              <w:ind w:left="120"/>
            </w:pPr>
            <w:r w:rsidRPr="00A31829">
              <w:rPr>
                <w:rFonts w:eastAsia="Arial"/>
                <w:b/>
                <w:bCs/>
              </w:rPr>
              <w:t>Prevalence</w:t>
            </w:r>
          </w:p>
        </w:tc>
        <w:tc>
          <w:tcPr>
            <w:tcW w:w="2800" w:type="dxa"/>
            <w:tcBorders>
              <w:right w:val="single" w:sz="8" w:space="0" w:color="E5B8B7"/>
            </w:tcBorders>
            <w:vAlign w:val="bottom"/>
          </w:tcPr>
          <w:p w14:paraId="31BBEFEF" w14:textId="77777777" w:rsidR="00BA3640" w:rsidRPr="00A31829" w:rsidRDefault="00AD5C60">
            <w:pPr>
              <w:ind w:left="100"/>
            </w:pPr>
            <w:r w:rsidRPr="00A31829">
              <w:rPr>
                <w:rFonts w:eastAsia="Arial"/>
                <w:b/>
                <w:bCs/>
              </w:rPr>
              <w:t>1:3000</w:t>
            </w:r>
          </w:p>
        </w:tc>
        <w:tc>
          <w:tcPr>
            <w:tcW w:w="1900" w:type="dxa"/>
            <w:tcBorders>
              <w:right w:val="single" w:sz="8" w:space="0" w:color="E5B8B7"/>
            </w:tcBorders>
            <w:vAlign w:val="bottom"/>
          </w:tcPr>
          <w:p w14:paraId="11F07FC4" w14:textId="77777777" w:rsidR="00BA3640" w:rsidRPr="00A31829" w:rsidRDefault="00AD5C60">
            <w:pPr>
              <w:ind w:left="80"/>
            </w:pPr>
            <w:r w:rsidRPr="00A31829">
              <w:rPr>
                <w:rFonts w:eastAsia="Arial"/>
                <w:b/>
                <w:bCs/>
              </w:rPr>
              <w:t>3:100</w:t>
            </w:r>
          </w:p>
        </w:tc>
      </w:tr>
      <w:tr w:rsidR="00BA3640" w:rsidRPr="00A31829" w14:paraId="140474D9" w14:textId="77777777">
        <w:trPr>
          <w:trHeight w:val="317"/>
        </w:trPr>
        <w:tc>
          <w:tcPr>
            <w:tcW w:w="4900" w:type="dxa"/>
            <w:tcBorders>
              <w:left w:val="single" w:sz="8" w:space="0" w:color="E5B8B7"/>
              <w:right w:val="single" w:sz="8" w:space="0" w:color="E5B8B7"/>
            </w:tcBorders>
            <w:vAlign w:val="bottom"/>
          </w:tcPr>
          <w:p w14:paraId="1BF74E4B" w14:textId="77777777" w:rsidR="00BA3640" w:rsidRPr="00A31829" w:rsidRDefault="00AD5C60">
            <w:pPr>
              <w:ind w:left="120"/>
            </w:pPr>
            <w:r w:rsidRPr="00A31829">
              <w:rPr>
                <w:rFonts w:eastAsia="Arial"/>
                <w:b/>
                <w:bCs/>
              </w:rPr>
              <w:t>Age</w:t>
            </w:r>
          </w:p>
        </w:tc>
        <w:tc>
          <w:tcPr>
            <w:tcW w:w="2800" w:type="dxa"/>
            <w:tcBorders>
              <w:right w:val="single" w:sz="8" w:space="0" w:color="E5B8B7"/>
            </w:tcBorders>
            <w:vAlign w:val="bottom"/>
          </w:tcPr>
          <w:p w14:paraId="79834598" w14:textId="77777777" w:rsidR="00BA3640" w:rsidRPr="00A31829" w:rsidRDefault="00AD5C60">
            <w:pPr>
              <w:ind w:left="100"/>
            </w:pPr>
            <w:r w:rsidRPr="00A31829">
              <w:rPr>
                <w:rFonts w:eastAsia="Arial"/>
                <w:b/>
                <w:bCs/>
              </w:rPr>
              <w:t>Usually &lt;30 years.</w:t>
            </w:r>
          </w:p>
        </w:tc>
        <w:tc>
          <w:tcPr>
            <w:tcW w:w="1900" w:type="dxa"/>
            <w:tcBorders>
              <w:right w:val="single" w:sz="8" w:space="0" w:color="E5B8B7"/>
            </w:tcBorders>
            <w:vAlign w:val="bottom"/>
          </w:tcPr>
          <w:p w14:paraId="3C11DAD2" w14:textId="77777777" w:rsidR="00BA3640" w:rsidRPr="00A31829" w:rsidRDefault="00AD5C60">
            <w:pPr>
              <w:ind w:left="80"/>
            </w:pPr>
            <w:r w:rsidRPr="00A31829">
              <w:rPr>
                <w:rFonts w:eastAsia="Arial"/>
                <w:b/>
                <w:bCs/>
              </w:rPr>
              <w:t>Usually &gt;40 years.</w:t>
            </w:r>
          </w:p>
        </w:tc>
      </w:tr>
      <w:tr w:rsidR="00BA3640" w:rsidRPr="00A31829" w14:paraId="2DA1D55E" w14:textId="77777777">
        <w:trPr>
          <w:trHeight w:val="337"/>
        </w:trPr>
        <w:tc>
          <w:tcPr>
            <w:tcW w:w="4900" w:type="dxa"/>
            <w:tcBorders>
              <w:left w:val="single" w:sz="8" w:space="0" w:color="E5B8B7"/>
              <w:right w:val="single" w:sz="8" w:space="0" w:color="E5B8B7"/>
            </w:tcBorders>
            <w:vAlign w:val="bottom"/>
          </w:tcPr>
          <w:p w14:paraId="0A03520C" w14:textId="77777777" w:rsidR="00BA3640" w:rsidRPr="00A31829" w:rsidRDefault="00AD5C60">
            <w:pPr>
              <w:ind w:left="120"/>
            </w:pPr>
            <w:r w:rsidRPr="00A31829">
              <w:rPr>
                <w:rFonts w:eastAsia="Arial"/>
                <w:b/>
                <w:bCs/>
              </w:rPr>
              <w:t>The course of the disease</w:t>
            </w:r>
          </w:p>
        </w:tc>
        <w:tc>
          <w:tcPr>
            <w:tcW w:w="2800" w:type="dxa"/>
            <w:tcBorders>
              <w:right w:val="single" w:sz="8" w:space="0" w:color="E5B8B7"/>
            </w:tcBorders>
            <w:vAlign w:val="bottom"/>
          </w:tcPr>
          <w:p w14:paraId="3C6F4617" w14:textId="77777777" w:rsidR="00BA3640" w:rsidRPr="00A31829" w:rsidRDefault="00AD5C60">
            <w:pPr>
              <w:ind w:left="100"/>
            </w:pPr>
            <w:r w:rsidRPr="00A31829">
              <w:rPr>
                <w:rFonts w:eastAsia="Arial"/>
                <w:b/>
                <w:bCs/>
              </w:rPr>
              <w:t>Acute</w:t>
            </w:r>
          </w:p>
        </w:tc>
        <w:tc>
          <w:tcPr>
            <w:tcW w:w="1900" w:type="dxa"/>
            <w:tcBorders>
              <w:right w:val="single" w:sz="8" w:space="0" w:color="E5B8B7"/>
            </w:tcBorders>
            <w:vAlign w:val="bottom"/>
          </w:tcPr>
          <w:p w14:paraId="13E0AEE2" w14:textId="77777777" w:rsidR="00BA3640" w:rsidRPr="00A31829" w:rsidRDefault="00AD5C60">
            <w:pPr>
              <w:ind w:left="80"/>
            </w:pPr>
            <w:r w:rsidRPr="00A31829">
              <w:rPr>
                <w:rFonts w:eastAsia="Arial"/>
                <w:b/>
                <w:bCs/>
              </w:rPr>
              <w:t>Insidious</w:t>
            </w:r>
          </w:p>
        </w:tc>
      </w:tr>
      <w:tr w:rsidR="00BA3640" w:rsidRPr="00A31829" w14:paraId="58CF966C" w14:textId="77777777">
        <w:trPr>
          <w:trHeight w:val="345"/>
        </w:trPr>
        <w:tc>
          <w:tcPr>
            <w:tcW w:w="4900" w:type="dxa"/>
            <w:tcBorders>
              <w:left w:val="single" w:sz="8" w:space="0" w:color="E5B8B7"/>
              <w:right w:val="single" w:sz="8" w:space="0" w:color="E5B8B7"/>
            </w:tcBorders>
            <w:vAlign w:val="bottom"/>
          </w:tcPr>
          <w:p w14:paraId="348332A4" w14:textId="77777777" w:rsidR="00BA3640" w:rsidRPr="00A31829" w:rsidRDefault="00AD5C60">
            <w:pPr>
              <w:ind w:left="120"/>
            </w:pPr>
            <w:r w:rsidRPr="00A31829">
              <w:rPr>
                <w:rFonts w:eastAsia="Arial"/>
                <w:b/>
                <w:bCs/>
              </w:rPr>
              <w:t>Association with autoimmune diseases</w:t>
            </w:r>
          </w:p>
        </w:tc>
        <w:tc>
          <w:tcPr>
            <w:tcW w:w="2800" w:type="dxa"/>
            <w:tcBorders>
              <w:right w:val="single" w:sz="8" w:space="0" w:color="E5B8B7"/>
            </w:tcBorders>
            <w:vAlign w:val="bottom"/>
          </w:tcPr>
          <w:p w14:paraId="283A9FF6" w14:textId="77777777" w:rsidR="00BA3640" w:rsidRPr="00A31829" w:rsidRDefault="00AD5C60">
            <w:pPr>
              <w:ind w:left="100"/>
            </w:pPr>
            <w:r w:rsidRPr="00A31829">
              <w:rPr>
                <w:rFonts w:eastAsia="Arial"/>
                <w:b/>
                <w:bCs/>
              </w:rPr>
              <w:t>Yes</w:t>
            </w:r>
          </w:p>
        </w:tc>
        <w:tc>
          <w:tcPr>
            <w:tcW w:w="1900" w:type="dxa"/>
            <w:tcBorders>
              <w:right w:val="single" w:sz="8" w:space="0" w:color="E5B8B7"/>
            </w:tcBorders>
            <w:vAlign w:val="bottom"/>
          </w:tcPr>
          <w:p w14:paraId="6C1766CC" w14:textId="77777777" w:rsidR="00BA3640" w:rsidRPr="00A31829" w:rsidRDefault="00AD5C60">
            <w:pPr>
              <w:ind w:left="80"/>
            </w:pPr>
            <w:r w:rsidRPr="00A31829">
              <w:rPr>
                <w:rFonts w:eastAsia="Arial"/>
                <w:b/>
                <w:bCs/>
              </w:rPr>
              <w:t>Not</w:t>
            </w:r>
          </w:p>
        </w:tc>
      </w:tr>
      <w:tr w:rsidR="00BA3640" w:rsidRPr="00A31829" w14:paraId="75B3A381" w14:textId="77777777">
        <w:trPr>
          <w:trHeight w:val="338"/>
        </w:trPr>
        <w:tc>
          <w:tcPr>
            <w:tcW w:w="4900" w:type="dxa"/>
            <w:tcBorders>
              <w:left w:val="single" w:sz="8" w:space="0" w:color="E5B8B7"/>
              <w:right w:val="single" w:sz="8" w:space="0" w:color="E5B8B7"/>
            </w:tcBorders>
            <w:vAlign w:val="bottom"/>
          </w:tcPr>
          <w:p w14:paraId="2ECA7FE2" w14:textId="77777777" w:rsidR="00BA3640" w:rsidRPr="00A31829" w:rsidRDefault="00AD5C60">
            <w:pPr>
              <w:ind w:left="120"/>
            </w:pPr>
            <w:r w:rsidRPr="00A31829">
              <w:rPr>
                <w:rFonts w:eastAsia="Arial"/>
                <w:b/>
                <w:bCs/>
              </w:rPr>
              <w:t>Antibodies directed at islet cells Other</w:t>
            </w:r>
          </w:p>
        </w:tc>
        <w:tc>
          <w:tcPr>
            <w:tcW w:w="2800" w:type="dxa"/>
            <w:tcBorders>
              <w:right w:val="single" w:sz="8" w:space="0" w:color="E5B8B7"/>
            </w:tcBorders>
            <w:vAlign w:val="bottom"/>
          </w:tcPr>
          <w:p w14:paraId="2998C1FE" w14:textId="77777777" w:rsidR="00BA3640" w:rsidRPr="00A31829" w:rsidRDefault="00AD5C60">
            <w:pPr>
              <w:ind w:left="100"/>
            </w:pPr>
            <w:r w:rsidRPr="00A31829">
              <w:rPr>
                <w:rFonts w:eastAsia="Arial"/>
                <w:b/>
                <w:bCs/>
              </w:rPr>
              <w:t>Yes</w:t>
            </w:r>
          </w:p>
        </w:tc>
        <w:tc>
          <w:tcPr>
            <w:tcW w:w="1900" w:type="dxa"/>
            <w:tcBorders>
              <w:right w:val="single" w:sz="8" w:space="0" w:color="E5B8B7"/>
            </w:tcBorders>
            <w:vAlign w:val="bottom"/>
          </w:tcPr>
          <w:p w14:paraId="6456EC49" w14:textId="77777777" w:rsidR="00BA3640" w:rsidRPr="00A31829" w:rsidRDefault="00AD5C60">
            <w:pPr>
              <w:ind w:left="80"/>
            </w:pPr>
            <w:r w:rsidRPr="00A31829">
              <w:rPr>
                <w:rFonts w:eastAsia="Arial"/>
                <w:b/>
                <w:bCs/>
              </w:rPr>
              <w:t>Not</w:t>
            </w:r>
          </w:p>
        </w:tc>
      </w:tr>
      <w:tr w:rsidR="00BA3640" w:rsidRPr="00A31829" w14:paraId="0D21B03E" w14:textId="77777777">
        <w:trPr>
          <w:trHeight w:val="341"/>
        </w:trPr>
        <w:tc>
          <w:tcPr>
            <w:tcW w:w="4900" w:type="dxa"/>
            <w:tcBorders>
              <w:left w:val="single" w:sz="8" w:space="0" w:color="E5B8B7"/>
              <w:right w:val="single" w:sz="8" w:space="0" w:color="E5B8B7"/>
            </w:tcBorders>
            <w:vAlign w:val="bottom"/>
          </w:tcPr>
          <w:p w14:paraId="079476CA" w14:textId="77777777" w:rsidR="00BA3640" w:rsidRPr="00A31829" w:rsidRDefault="00AD5C60">
            <w:pPr>
              <w:ind w:left="120"/>
            </w:pPr>
            <w:r w:rsidRPr="00A31829">
              <w:rPr>
                <w:rFonts w:eastAsia="Arial"/>
                <w:b/>
                <w:bCs/>
              </w:rPr>
              <w:t>autoantibodies</w:t>
            </w:r>
          </w:p>
        </w:tc>
        <w:tc>
          <w:tcPr>
            <w:tcW w:w="2800" w:type="dxa"/>
            <w:tcBorders>
              <w:right w:val="single" w:sz="8" w:space="0" w:color="E5B8B7"/>
            </w:tcBorders>
            <w:vAlign w:val="bottom"/>
          </w:tcPr>
          <w:p w14:paraId="659DDEA6" w14:textId="77777777" w:rsidR="00BA3640" w:rsidRPr="00A31829" w:rsidRDefault="00AD5C60">
            <w:pPr>
              <w:ind w:left="100"/>
            </w:pPr>
            <w:r w:rsidRPr="00A31829">
              <w:rPr>
                <w:rFonts w:eastAsia="Arial"/>
                <w:b/>
                <w:bCs/>
              </w:rPr>
              <w:t>Sometimes</w:t>
            </w:r>
          </w:p>
        </w:tc>
        <w:tc>
          <w:tcPr>
            <w:tcW w:w="1900" w:type="dxa"/>
            <w:tcBorders>
              <w:right w:val="single" w:sz="8" w:space="0" w:color="E5B8B7"/>
            </w:tcBorders>
            <w:vAlign w:val="bottom"/>
          </w:tcPr>
          <w:p w14:paraId="74737A24" w14:textId="77777777" w:rsidR="00BA3640" w:rsidRPr="00A31829" w:rsidRDefault="00AD5C60">
            <w:pPr>
              <w:ind w:left="80"/>
            </w:pPr>
            <w:r w:rsidRPr="00A31829">
              <w:rPr>
                <w:rFonts w:eastAsia="Arial"/>
                <w:b/>
                <w:bCs/>
              </w:rPr>
              <w:t>Not</w:t>
            </w:r>
          </w:p>
        </w:tc>
      </w:tr>
      <w:tr w:rsidR="00BA3640" w:rsidRPr="00A31829" w14:paraId="4AD623FF" w14:textId="77777777">
        <w:trPr>
          <w:trHeight w:val="333"/>
        </w:trPr>
        <w:tc>
          <w:tcPr>
            <w:tcW w:w="4900" w:type="dxa"/>
            <w:tcBorders>
              <w:left w:val="single" w:sz="8" w:space="0" w:color="E5B8B7"/>
              <w:right w:val="single" w:sz="8" w:space="0" w:color="E5B8B7"/>
            </w:tcBorders>
            <w:vAlign w:val="bottom"/>
          </w:tcPr>
          <w:p w14:paraId="6072E30F" w14:textId="77777777" w:rsidR="00BA3640" w:rsidRPr="00A31829" w:rsidRDefault="00AD5C60">
            <w:pPr>
              <w:ind w:left="120"/>
            </w:pPr>
            <w:r w:rsidRPr="00A31829">
              <w:rPr>
                <w:rFonts w:eastAsia="Arial"/>
                <w:b/>
                <w:bCs/>
              </w:rPr>
              <w:t>Percentage of diabetes mellitus cases</w:t>
            </w:r>
          </w:p>
        </w:tc>
        <w:tc>
          <w:tcPr>
            <w:tcW w:w="2800" w:type="dxa"/>
            <w:tcBorders>
              <w:right w:val="single" w:sz="8" w:space="0" w:color="E5B8B7"/>
            </w:tcBorders>
            <w:vAlign w:val="bottom"/>
          </w:tcPr>
          <w:p w14:paraId="327D9A8E" w14:textId="77777777" w:rsidR="00BA3640" w:rsidRPr="00A31829" w:rsidRDefault="00AD5C60">
            <w:pPr>
              <w:ind w:left="100"/>
            </w:pPr>
            <w:r w:rsidRPr="00A31829">
              <w:rPr>
                <w:rFonts w:eastAsia="Arial"/>
                <w:b/>
                <w:bCs/>
              </w:rPr>
              <w:t>10-20%</w:t>
            </w:r>
          </w:p>
        </w:tc>
        <w:tc>
          <w:tcPr>
            <w:tcW w:w="1900" w:type="dxa"/>
            <w:tcBorders>
              <w:right w:val="single" w:sz="8" w:space="0" w:color="E5B8B7"/>
            </w:tcBorders>
            <w:vAlign w:val="bottom"/>
          </w:tcPr>
          <w:p w14:paraId="179F06D7" w14:textId="77777777" w:rsidR="00BA3640" w:rsidRPr="00A31829" w:rsidRDefault="00AD5C60">
            <w:pPr>
              <w:ind w:left="80"/>
            </w:pPr>
            <w:r w:rsidRPr="00A31829">
              <w:rPr>
                <w:rFonts w:eastAsia="Arial"/>
                <w:b/>
                <w:bCs/>
              </w:rPr>
              <w:t>80-90%</w:t>
            </w:r>
          </w:p>
        </w:tc>
      </w:tr>
      <w:tr w:rsidR="00BA3640" w:rsidRPr="00A31829" w14:paraId="6BDF14A1" w14:textId="77777777">
        <w:trPr>
          <w:trHeight w:val="346"/>
        </w:trPr>
        <w:tc>
          <w:tcPr>
            <w:tcW w:w="4900" w:type="dxa"/>
            <w:tcBorders>
              <w:left w:val="single" w:sz="8" w:space="0" w:color="E5B8B7"/>
              <w:right w:val="single" w:sz="8" w:space="0" w:color="E5B8B7"/>
            </w:tcBorders>
            <w:vAlign w:val="bottom"/>
          </w:tcPr>
          <w:p w14:paraId="142FC8D4" w14:textId="77777777" w:rsidR="00BA3640" w:rsidRPr="00A31829" w:rsidRDefault="00AD5C60">
            <w:pPr>
              <w:ind w:left="120"/>
            </w:pPr>
            <w:r w:rsidRPr="00A31829">
              <w:rPr>
                <w:rFonts w:eastAsia="Arial"/>
                <w:b/>
                <w:bCs/>
              </w:rPr>
              <w:t>Association with MHC genes</w:t>
            </w:r>
          </w:p>
        </w:tc>
        <w:tc>
          <w:tcPr>
            <w:tcW w:w="2800" w:type="dxa"/>
            <w:tcBorders>
              <w:right w:val="single" w:sz="8" w:space="0" w:color="E5B8B7"/>
            </w:tcBorders>
            <w:vAlign w:val="bottom"/>
          </w:tcPr>
          <w:p w14:paraId="083822AB" w14:textId="77777777" w:rsidR="00BA3640" w:rsidRPr="00A31829" w:rsidRDefault="00AD5C60">
            <w:pPr>
              <w:ind w:left="100"/>
            </w:pPr>
            <w:r w:rsidRPr="00A31829">
              <w:rPr>
                <w:rFonts w:eastAsia="Arial"/>
                <w:b/>
                <w:bCs/>
              </w:rPr>
              <w:t>DR3 and DR4</w:t>
            </w:r>
          </w:p>
        </w:tc>
        <w:tc>
          <w:tcPr>
            <w:tcW w:w="1900" w:type="dxa"/>
            <w:tcBorders>
              <w:right w:val="single" w:sz="8" w:space="0" w:color="E5B8B7"/>
            </w:tcBorders>
            <w:vAlign w:val="bottom"/>
          </w:tcPr>
          <w:p w14:paraId="6C96AFB1" w14:textId="77777777" w:rsidR="00BA3640" w:rsidRPr="00A31829" w:rsidRDefault="00AD5C60">
            <w:pPr>
              <w:ind w:left="80"/>
            </w:pPr>
            <w:r w:rsidRPr="00A31829">
              <w:rPr>
                <w:rFonts w:eastAsia="Arial"/>
                <w:b/>
                <w:bCs/>
              </w:rPr>
              <w:t>Not</w:t>
            </w:r>
          </w:p>
        </w:tc>
      </w:tr>
      <w:tr w:rsidR="00BA3640" w:rsidRPr="00A31829" w14:paraId="43636353" w14:textId="77777777">
        <w:trPr>
          <w:trHeight w:val="78"/>
        </w:trPr>
        <w:tc>
          <w:tcPr>
            <w:tcW w:w="4900" w:type="dxa"/>
            <w:tcBorders>
              <w:left w:val="single" w:sz="8" w:space="0" w:color="E5B8B7"/>
              <w:bottom w:val="single" w:sz="8" w:space="0" w:color="E5B8B7"/>
              <w:right w:val="single" w:sz="8" w:space="0" w:color="E5B8B7"/>
            </w:tcBorders>
            <w:vAlign w:val="bottom"/>
          </w:tcPr>
          <w:p w14:paraId="68276417" w14:textId="77777777" w:rsidR="00BA3640" w:rsidRPr="00A31829" w:rsidRDefault="00BA3640"/>
        </w:tc>
        <w:tc>
          <w:tcPr>
            <w:tcW w:w="2800" w:type="dxa"/>
            <w:tcBorders>
              <w:bottom w:val="single" w:sz="8" w:space="0" w:color="E5B8B7"/>
              <w:right w:val="single" w:sz="8" w:space="0" w:color="E5B8B7"/>
            </w:tcBorders>
            <w:vAlign w:val="bottom"/>
          </w:tcPr>
          <w:p w14:paraId="4A37AD15" w14:textId="77777777" w:rsidR="00BA3640" w:rsidRPr="00A31829" w:rsidRDefault="00BA3640"/>
        </w:tc>
        <w:tc>
          <w:tcPr>
            <w:tcW w:w="1900" w:type="dxa"/>
            <w:tcBorders>
              <w:bottom w:val="single" w:sz="8" w:space="0" w:color="E5B8B7"/>
              <w:right w:val="single" w:sz="8" w:space="0" w:color="E5B8B7"/>
            </w:tcBorders>
            <w:vAlign w:val="bottom"/>
          </w:tcPr>
          <w:p w14:paraId="54F7D997" w14:textId="77777777" w:rsidR="00BA3640" w:rsidRPr="00A31829" w:rsidRDefault="00BA3640"/>
        </w:tc>
      </w:tr>
    </w:tbl>
    <w:p w14:paraId="56E64F74" w14:textId="77777777" w:rsidR="00BA3640" w:rsidRPr="00A31829" w:rsidRDefault="00BA3640">
      <w:pPr>
        <w:spacing w:line="200" w:lineRule="exact"/>
        <w:rPr>
          <w:sz w:val="20"/>
          <w:szCs w:val="20"/>
        </w:rPr>
      </w:pPr>
    </w:p>
    <w:p w14:paraId="5C82E8FC" w14:textId="77777777" w:rsidR="00BA3640" w:rsidRPr="00A31829" w:rsidRDefault="00BA3640">
      <w:pPr>
        <w:sectPr w:rsidR="00BA3640" w:rsidRPr="00A31829">
          <w:pgSz w:w="12240" w:h="15840"/>
          <w:pgMar w:top="1413" w:right="1320" w:bottom="841" w:left="1320" w:header="0" w:footer="0" w:gutter="0"/>
          <w:cols w:space="720" w:equalWidth="0">
            <w:col w:w="9600"/>
          </w:cols>
        </w:sectPr>
      </w:pPr>
    </w:p>
    <w:p w14:paraId="2530EF34" w14:textId="77777777" w:rsidR="00BA3640" w:rsidRPr="00A31829" w:rsidRDefault="00BA3640">
      <w:pPr>
        <w:spacing w:line="200" w:lineRule="exact"/>
        <w:rPr>
          <w:sz w:val="20"/>
          <w:szCs w:val="20"/>
        </w:rPr>
      </w:pPr>
    </w:p>
    <w:p w14:paraId="615567B1" w14:textId="77777777" w:rsidR="00BA3640" w:rsidRPr="00A31829" w:rsidRDefault="00BA3640">
      <w:pPr>
        <w:spacing w:line="213" w:lineRule="exact"/>
        <w:rPr>
          <w:sz w:val="20"/>
          <w:szCs w:val="20"/>
        </w:rPr>
      </w:pPr>
    </w:p>
    <w:p w14:paraId="33B89EDD" w14:textId="65F83667" w:rsidR="00BA3640" w:rsidRPr="00A31829" w:rsidRDefault="00AD5C60" w:rsidP="0077038F">
      <w:pPr>
        <w:spacing w:line="480" w:lineRule="auto"/>
        <w:ind w:right="110" w:firstLine="288"/>
        <w:jc w:val="both"/>
        <w:rPr>
          <w:sz w:val="24"/>
          <w:szCs w:val="24"/>
        </w:rPr>
      </w:pPr>
      <w:r w:rsidRPr="00A31829">
        <w:rPr>
          <w:rFonts w:eastAsia="Arial"/>
          <w:sz w:val="24"/>
          <w:szCs w:val="24"/>
        </w:rPr>
        <w:t>Within type 1 diabetes, two main forms are further distinguished: type 1A, which usually begins in childhood and is characterized by immune-mediated destruction of β-cells in</w:t>
      </w:r>
      <w:bookmarkStart w:id="8" w:name="page10"/>
      <w:bookmarkEnd w:id="8"/>
      <w:r w:rsidR="00A31829">
        <w:rPr>
          <w:rFonts w:eastAsia="Arial"/>
          <w:sz w:val="24"/>
          <w:szCs w:val="24"/>
        </w:rPr>
        <w:t xml:space="preserve"> </w:t>
      </w:r>
      <w:r w:rsidRPr="00A31829">
        <w:rPr>
          <w:rFonts w:eastAsia="Arial"/>
          <w:sz w:val="24"/>
          <w:szCs w:val="24"/>
        </w:rPr>
        <w:t>pancreatic islets; type 1B in which severe β-cell destruction occurs in the absence of a detectable immune response directed at the pancreatic tissue. Antibodies directed against pancreatic islet cells can be detected in type 1A diabetes. but not in type 1B.</w:t>
      </w:r>
    </w:p>
    <w:p w14:paraId="4CB34266" w14:textId="77777777" w:rsidR="00BA3640" w:rsidRPr="00A31829" w:rsidRDefault="00BA3640">
      <w:pPr>
        <w:spacing w:line="133" w:lineRule="exact"/>
        <w:rPr>
          <w:sz w:val="20"/>
          <w:szCs w:val="20"/>
        </w:rPr>
      </w:pPr>
    </w:p>
    <w:p w14:paraId="14073327" w14:textId="77777777" w:rsidR="00BA3640" w:rsidRPr="00A31829" w:rsidRDefault="00AD5C60">
      <w:pPr>
        <w:rPr>
          <w:sz w:val="24"/>
          <w:szCs w:val="24"/>
        </w:rPr>
      </w:pPr>
      <w:r w:rsidRPr="00A31829">
        <w:rPr>
          <w:rFonts w:eastAsia="Arial"/>
          <w:b/>
          <w:bCs/>
          <w:sz w:val="24"/>
          <w:szCs w:val="24"/>
        </w:rPr>
        <w:t>1.2. Immunopathogenesis of diabetes mellitus type 1</w:t>
      </w:r>
    </w:p>
    <w:p w14:paraId="73420873" w14:textId="77777777" w:rsidR="00BA3640" w:rsidRPr="00A31829" w:rsidRDefault="00BA3640">
      <w:pPr>
        <w:spacing w:line="365" w:lineRule="exact"/>
        <w:rPr>
          <w:sz w:val="20"/>
          <w:szCs w:val="20"/>
        </w:rPr>
      </w:pPr>
    </w:p>
    <w:p w14:paraId="474B2734" w14:textId="7AD27290" w:rsidR="00BA3640" w:rsidRDefault="00AD5C60" w:rsidP="00A31829">
      <w:pPr>
        <w:spacing w:line="480" w:lineRule="auto"/>
        <w:ind w:right="80" w:firstLine="720"/>
        <w:jc w:val="both"/>
        <w:rPr>
          <w:rFonts w:eastAsia="Arial"/>
          <w:sz w:val="24"/>
          <w:szCs w:val="24"/>
        </w:rPr>
      </w:pPr>
      <w:r w:rsidRPr="00A31829">
        <w:rPr>
          <w:rFonts w:eastAsia="Arial"/>
          <w:sz w:val="24"/>
          <w:szCs w:val="24"/>
        </w:rPr>
        <w:t xml:space="preserve">Diabetes mellitus type 1 is a chronic disease characterized by the cessation of insulin production as a result of autoimmune destruction of </w:t>
      </w:r>
      <w:r w:rsidR="00224811" w:rsidRPr="00224811">
        <w:rPr>
          <w:sz w:val="24"/>
          <w:szCs w:val="24"/>
        </w:rPr>
        <w:t>the β-cells of the islets of Langerhans</w:t>
      </w:r>
      <w:r w:rsidR="00224811">
        <w:rPr>
          <w:rFonts w:eastAsia="Arial"/>
          <w:sz w:val="24"/>
          <w:szCs w:val="24"/>
        </w:rPr>
        <w:t>.</w:t>
      </w:r>
    </w:p>
    <w:p w14:paraId="0E82A4FE" w14:textId="763E0138" w:rsidR="00BA3640" w:rsidRPr="00A31829" w:rsidRDefault="00AD5C60" w:rsidP="0077038F">
      <w:pPr>
        <w:spacing w:line="480" w:lineRule="auto"/>
        <w:ind w:right="20" w:firstLine="720"/>
        <w:jc w:val="both"/>
        <w:rPr>
          <w:sz w:val="24"/>
          <w:szCs w:val="24"/>
        </w:rPr>
      </w:pPr>
      <w:r w:rsidRPr="00A31829">
        <w:rPr>
          <w:rFonts w:eastAsia="Arial"/>
          <w:sz w:val="24"/>
          <w:szCs w:val="24"/>
        </w:rPr>
        <w:t>Diabetes mellitus type 1 is an organ-specific autoimmune disease and is associated with other organ-specific autoimmune diseases such as thyrotoxicosis. Insulin production is absent due to a specific immune response to the β-cells of the pancreatic ducts of Langerhans. Histopathological sign of diabetes is infiltration of pancreatic islets with mononuclear cells - insulitis. Histological analysis shows an intense islet infiltrate in which activated CD4+ and CD8+ T lymphocytes an</w:t>
      </w:r>
      <w:r w:rsidR="00913B9E">
        <w:rPr>
          <w:rFonts w:eastAsia="Arial"/>
          <w:sz w:val="24"/>
          <w:szCs w:val="24"/>
        </w:rPr>
        <w:t>d macrophages are p</w:t>
      </w:r>
      <w:r w:rsidRPr="00A31829">
        <w:rPr>
          <w:rFonts w:eastAsia="Arial"/>
          <w:sz w:val="24"/>
          <w:szCs w:val="24"/>
        </w:rPr>
        <w:t>resent, a reduced number of insulin-producing β-cells and a relatively low number of glucagon-producing α-cells. Islet cell infiltration and subsequent β-cell damage may precede clinically manifest diabetes by many years, sometimes decades.</w:t>
      </w:r>
    </w:p>
    <w:p w14:paraId="45005401" w14:textId="77777777" w:rsidR="00BA3640" w:rsidRPr="00A31829" w:rsidRDefault="00BA3640" w:rsidP="00A31829">
      <w:pPr>
        <w:spacing w:line="480" w:lineRule="auto"/>
        <w:jc w:val="both"/>
        <w:rPr>
          <w:sz w:val="24"/>
          <w:szCs w:val="24"/>
        </w:rPr>
      </w:pPr>
    </w:p>
    <w:p w14:paraId="38A378E4" w14:textId="77777777" w:rsidR="00BA3640" w:rsidRPr="00A31829" w:rsidRDefault="00AD5C60" w:rsidP="00A31829">
      <w:pPr>
        <w:spacing w:line="480" w:lineRule="auto"/>
        <w:ind w:firstLine="288"/>
        <w:jc w:val="both"/>
        <w:rPr>
          <w:sz w:val="24"/>
          <w:szCs w:val="24"/>
        </w:rPr>
      </w:pPr>
      <w:r w:rsidRPr="00A31829">
        <w:rPr>
          <w:rFonts w:eastAsia="Arial"/>
          <w:sz w:val="24"/>
          <w:szCs w:val="24"/>
        </w:rPr>
        <w:t xml:space="preserve">The antigens most often associated with this disease are GAD (Glutamic Acid Decarboxylase) and IA-2 (tyrosine phosphatase). It is believed that cytotoxic T lymphocytes kill β-cells, while autoantibodies play a minimal role in this. Thus, anti-islet cell antibodies (ICA) react to membrane and cytoplasmic antigens of islet cells. These antibodies (IgG2 and/or IgG4) can be detected months and years before the onset of clinical symptoms. Insulin autoantibodies are detected in one </w:t>
      </w:r>
      <w:r w:rsidRPr="00A31829">
        <w:rPr>
          <w:rFonts w:eastAsia="Arial"/>
          <w:sz w:val="24"/>
          <w:szCs w:val="24"/>
        </w:rPr>
        <w:lastRenderedPageBreak/>
        <w:t>third of IDDM patients who are not treated with insulin. Their significance is not clear, but the simultaneous presence of insulin autoantibodies and ICA may indicate the future development of diabetes. During the destruction of islet cells, insulin may be present in a form that the immune system recognizes as foreign. This explains the presence of anti-insulin antibodies in people with type 1 diabetes who develop insulitis (inflammation of islet cells).</w:t>
      </w:r>
    </w:p>
    <w:p w14:paraId="25802226" w14:textId="77777777" w:rsidR="00BA3640" w:rsidRPr="00A31829" w:rsidRDefault="00AD5C60" w:rsidP="00A31829">
      <w:pPr>
        <w:spacing w:line="480" w:lineRule="auto"/>
        <w:ind w:right="60" w:firstLine="720"/>
        <w:jc w:val="both"/>
        <w:rPr>
          <w:sz w:val="24"/>
          <w:szCs w:val="24"/>
        </w:rPr>
      </w:pPr>
      <w:bookmarkStart w:id="9" w:name="page11"/>
      <w:bookmarkEnd w:id="9"/>
      <w:r w:rsidRPr="00A31829">
        <w:rPr>
          <w:rFonts w:eastAsia="Arial"/>
          <w:sz w:val="24"/>
          <w:szCs w:val="24"/>
        </w:rPr>
        <w:t>It is customary to divide the pathogenesis of type 1 diabetes into two phases, the first being called the initial phase and the second the effector phase.</w:t>
      </w:r>
    </w:p>
    <w:p w14:paraId="3FAAE02D" w14:textId="77777777" w:rsidR="00BA3640" w:rsidRPr="00A31829" w:rsidRDefault="00BA3640">
      <w:pPr>
        <w:spacing w:line="53" w:lineRule="exact"/>
        <w:rPr>
          <w:sz w:val="20"/>
          <w:szCs w:val="20"/>
        </w:rPr>
      </w:pPr>
    </w:p>
    <w:p w14:paraId="1966E60F" w14:textId="047A548C" w:rsidR="00BA3640" w:rsidRPr="00A31829" w:rsidRDefault="00AD5C60" w:rsidP="00A31829">
      <w:pPr>
        <w:spacing w:line="480" w:lineRule="auto"/>
        <w:ind w:firstLine="288"/>
        <w:jc w:val="both"/>
        <w:rPr>
          <w:sz w:val="24"/>
          <w:szCs w:val="24"/>
        </w:rPr>
      </w:pPr>
      <w:r w:rsidRPr="00A31829">
        <w:rPr>
          <w:rFonts w:eastAsia="Arial"/>
          <w:b/>
          <w:bCs/>
          <w:i/>
          <w:iCs/>
          <w:sz w:val="24"/>
          <w:szCs w:val="24"/>
        </w:rPr>
        <w:t>Initial phase</w:t>
      </w:r>
      <w:r w:rsidRPr="00A31829">
        <w:rPr>
          <w:rFonts w:eastAsia="Arial"/>
          <w:b/>
          <w:bCs/>
          <w:sz w:val="24"/>
          <w:szCs w:val="24"/>
        </w:rPr>
        <w:t xml:space="preserve">. </w:t>
      </w:r>
      <w:r w:rsidRPr="00A31829">
        <w:rPr>
          <w:rFonts w:eastAsia="Arial"/>
          <w:sz w:val="24"/>
          <w:szCs w:val="24"/>
        </w:rPr>
        <w:t>The processes in the initial phase of the disease can be briefly described as</w:t>
      </w:r>
      <w:r w:rsidRPr="00A31829">
        <w:rPr>
          <w:rFonts w:eastAsia="Arial"/>
          <w:i/>
          <w:iCs/>
          <w:sz w:val="24"/>
          <w:szCs w:val="24"/>
        </w:rPr>
        <w:t xml:space="preserve"> </w:t>
      </w:r>
      <w:r w:rsidRPr="00A31829">
        <w:rPr>
          <w:rFonts w:eastAsia="Arial"/>
          <w:sz w:val="24"/>
          <w:szCs w:val="24"/>
        </w:rPr>
        <w:t>follows: under the influence of unknown pathogenic agents, most likely viruses, modified β cell antigens are first released, which are then taken over by tissue APCs, processed and presented in the context of MHC class I molecules. Antigens displayed in this way are recognized by CD8+T</w:t>
      </w:r>
      <w:r w:rsidR="003F28CE">
        <w:rPr>
          <w:rFonts w:eastAsia="Arial"/>
          <w:sz w:val="24"/>
          <w:szCs w:val="24"/>
        </w:rPr>
        <w:t xml:space="preserve"> lymphocytes, </w:t>
      </w:r>
      <w:r w:rsidR="002854E5" w:rsidRPr="002854E5">
        <w:rPr>
          <w:rFonts w:eastAsia="Arial"/>
          <w:sz w:val="24"/>
          <w:szCs w:val="24"/>
        </w:rPr>
        <w:t>which</w:t>
      </w:r>
      <w:r w:rsidR="003F28CE" w:rsidRPr="002854E5">
        <w:rPr>
          <w:rFonts w:eastAsia="Arial"/>
          <w:sz w:val="24"/>
          <w:szCs w:val="24"/>
        </w:rPr>
        <w:t xml:space="preserve"> activate</w:t>
      </w:r>
      <w:r w:rsidRPr="00A31829">
        <w:rPr>
          <w:rFonts w:eastAsia="Arial"/>
          <w:sz w:val="24"/>
          <w:szCs w:val="24"/>
        </w:rPr>
        <w:t xml:space="preserve"> and damage β cells that recognize the same combination of antigens and MHC class I molecules. CD8+ T lymphocytes damage β cells both by the secretion of cytotoxic cytokines (IFN-γ, TNF-α) and by direct contact (Fas/FasL interaction and perforin-granzyme mechanism). Cell antigens are released from damaged β cells, probably in an immature and/or altered form: insulin, GAD 65/67 (GAD from Eng. - glutamic acid decarboxylase), IA-2 (ICA512) (IA-2 from Eng. - insulinoma -associated- protein 2; ICA from Eng</w:t>
      </w:r>
      <w:r w:rsidR="0057412E">
        <w:rPr>
          <w:rFonts w:eastAsia="Arial"/>
          <w:sz w:val="24"/>
          <w:szCs w:val="24"/>
        </w:rPr>
        <w:t>.</w:t>
      </w:r>
      <w:r w:rsidRPr="00A31829">
        <w:rPr>
          <w:rFonts w:eastAsia="Arial"/>
          <w:sz w:val="24"/>
          <w:szCs w:val="24"/>
        </w:rPr>
        <w:t xml:space="preserve"> – islet cell antigen). These antigens are taken up by immature dendritic cells in the pancreas and transported to the parapancreatic lymph nodes, where they are processed and presented to CD4+ T lymphocytes. Antigen presentation causes a clonal expansion of autoreactive effector CD4+ T lymphocytes, which express different adhesive molecules (ICAM1, LFA1, and chemokine receptors: CCR4, CCR5, CXCR3) on their surface, which now allows them, according to the antigenic gradient and </w:t>
      </w:r>
      <w:r w:rsidRPr="00A31829">
        <w:rPr>
          <w:rFonts w:eastAsia="Arial"/>
          <w:sz w:val="24"/>
          <w:szCs w:val="24"/>
        </w:rPr>
        <w:lastRenderedPageBreak/>
        <w:t xml:space="preserve">chemokines produced at the site of initial inflammation under the influence of CD8+ T lymphocytes, </w:t>
      </w:r>
      <w:r w:rsidR="002854E5">
        <w:rPr>
          <w:rFonts w:eastAsia="Arial"/>
          <w:sz w:val="24"/>
          <w:szCs w:val="24"/>
        </w:rPr>
        <w:t>migration</w:t>
      </w:r>
      <w:r w:rsidR="003F28CE">
        <w:rPr>
          <w:rFonts w:eastAsia="Arial"/>
          <w:sz w:val="24"/>
          <w:szCs w:val="24"/>
        </w:rPr>
        <w:t xml:space="preserve"> </w:t>
      </w:r>
      <w:r w:rsidRPr="00A31829">
        <w:rPr>
          <w:rFonts w:eastAsia="Arial"/>
          <w:sz w:val="24"/>
          <w:szCs w:val="24"/>
        </w:rPr>
        <w:t>the pancreatic tissue.</w:t>
      </w:r>
    </w:p>
    <w:p w14:paraId="1B947A69" w14:textId="77777777" w:rsidR="00BA3640" w:rsidRPr="00A31829" w:rsidRDefault="00BA3640">
      <w:pPr>
        <w:spacing w:line="139" w:lineRule="exact"/>
        <w:rPr>
          <w:sz w:val="20"/>
          <w:szCs w:val="20"/>
        </w:rPr>
      </w:pPr>
    </w:p>
    <w:p w14:paraId="4C607584" w14:textId="408C0DA0" w:rsidR="0077038F" w:rsidRDefault="00AD5C60" w:rsidP="0077038F">
      <w:pPr>
        <w:spacing w:line="480" w:lineRule="auto"/>
        <w:ind w:right="20" w:firstLine="288"/>
        <w:jc w:val="both"/>
        <w:rPr>
          <w:rFonts w:eastAsia="Arial"/>
          <w:sz w:val="24"/>
          <w:szCs w:val="24"/>
        </w:rPr>
      </w:pPr>
      <w:r w:rsidRPr="0077038F">
        <w:rPr>
          <w:rFonts w:eastAsia="Arial"/>
          <w:b/>
          <w:bCs/>
          <w:i/>
          <w:iCs/>
          <w:sz w:val="24"/>
          <w:szCs w:val="24"/>
        </w:rPr>
        <w:t>Effector phase</w:t>
      </w:r>
      <w:r w:rsidRPr="0077038F">
        <w:rPr>
          <w:rFonts w:eastAsia="Arial"/>
          <w:b/>
          <w:bCs/>
          <w:sz w:val="24"/>
          <w:szCs w:val="24"/>
        </w:rPr>
        <w:t xml:space="preserve">. </w:t>
      </w:r>
      <w:r w:rsidRPr="0077038F">
        <w:rPr>
          <w:rFonts w:eastAsia="Arial"/>
          <w:sz w:val="24"/>
          <w:szCs w:val="24"/>
        </w:rPr>
        <w:t>Effector CD4+ T lymphocytes activate and trigger cells of innate and</w:t>
      </w:r>
      <w:r w:rsidRPr="0077038F">
        <w:rPr>
          <w:rFonts w:eastAsia="Arial"/>
          <w:i/>
          <w:iCs/>
          <w:sz w:val="24"/>
          <w:szCs w:val="24"/>
        </w:rPr>
        <w:t xml:space="preserve"> </w:t>
      </w:r>
      <w:r w:rsidRPr="0077038F">
        <w:rPr>
          <w:rFonts w:eastAsia="Arial"/>
          <w:sz w:val="24"/>
          <w:szCs w:val="24"/>
        </w:rPr>
        <w:t xml:space="preserve">acquired immunity, which enables the development of insulitis. The first cells that infiltrate the islets in the early stage of insulitis are macrophages and dendritic cells, followed by the infiltration of T, B lymphocytes and NK cells. Macrophages are by far the most numerous infiltrate cells in the early stage of insulitis. Infiltrating cells secrete pro-inflammatory cytokines. The synergistic and cumulative effects of the mentioned cytokines show a strong cytocidal </w:t>
      </w:r>
      <w:r w:rsidR="003F28CE">
        <w:rPr>
          <w:rFonts w:eastAsia="Arial"/>
          <w:sz w:val="24"/>
          <w:szCs w:val="24"/>
        </w:rPr>
        <w:t xml:space="preserve">effect on β cells. IL1-β, TNF-α </w:t>
      </w:r>
      <w:r w:rsidRPr="0077038F">
        <w:rPr>
          <w:rFonts w:eastAsia="Arial"/>
          <w:sz w:val="24"/>
          <w:szCs w:val="24"/>
        </w:rPr>
        <w:t xml:space="preserve">and IFN-γ cause selective destruction of β cells by inducing proapoptotic signals while simultaneously stimulating the expression of CD95 (Fas) molecules on these cells. Selective damage to β cells by cytokines </w:t>
      </w:r>
      <w:r w:rsidR="003F28CE" w:rsidRPr="002854E5">
        <w:rPr>
          <w:rFonts w:eastAsia="Arial"/>
          <w:sz w:val="24"/>
          <w:szCs w:val="24"/>
        </w:rPr>
        <w:t>conducts</w:t>
      </w:r>
      <w:r w:rsidRPr="0077038F">
        <w:rPr>
          <w:rFonts w:eastAsia="Arial"/>
          <w:sz w:val="24"/>
          <w:szCs w:val="24"/>
        </w:rPr>
        <w:t xml:space="preserve"> through the intracellular accumulation of reactive oxygen species</w:t>
      </w:r>
      <w:bookmarkStart w:id="10" w:name="page12"/>
      <w:bookmarkEnd w:id="10"/>
      <w:r w:rsidR="00A31829" w:rsidRPr="0077038F">
        <w:rPr>
          <w:sz w:val="24"/>
          <w:szCs w:val="24"/>
        </w:rPr>
        <w:t xml:space="preserve"> </w:t>
      </w:r>
      <w:r w:rsidRPr="0077038F">
        <w:rPr>
          <w:rFonts w:eastAsia="Arial"/>
          <w:sz w:val="24"/>
          <w:szCs w:val="24"/>
        </w:rPr>
        <w:t xml:space="preserve">intermediate products (ROS from Eng. – reactive oxygen species) that damage DNA and proteins. β cells are particularly sensitive to oxidative stress due to their relatively weak potential for the expression of antioxidant enzymes, which predisposes them to the selective action of these cytokines, i.e. ROS. These free oxygen radicals trigger the NFκB and MAPK (MAPK from Eng. - mitogen activated protein kinase) pathways of β cell apoptosis activation. In addition, it has been shown that IL1-β can directly and potently activate MAPK and this activation is dose-dependent. Therefore, IL1-β is thought to be the most important proinflammatory cytokine that damages β cells. In addition to the secretory form of these cytokines and the membrane form of IL1 and TNF-α expressed on macrophages and CD4+ T lymphocytes, they contribute to cytotoxicity. On the other hand, increased expression of the CD95 (Fas) molecule on β cells enables effector T lymphocytes to directly kill these cells by binding their CD95L (FasL) to CD95 (Fas) expressed </w:t>
      </w:r>
      <w:r w:rsidRPr="0077038F">
        <w:rPr>
          <w:rFonts w:eastAsia="Arial"/>
          <w:sz w:val="24"/>
          <w:szCs w:val="24"/>
        </w:rPr>
        <w:lastRenderedPageBreak/>
        <w:t>on β cells. Although both Fas/FasL interaction and the perforin-granzyme pathway are involved in β-cell killing, the first mechanism seems to be more important.</w:t>
      </w:r>
    </w:p>
    <w:p w14:paraId="27DD7F6D" w14:textId="4ECE182D" w:rsidR="00BA3640" w:rsidRPr="0077038F" w:rsidRDefault="00AD5C60" w:rsidP="00A31829">
      <w:pPr>
        <w:spacing w:line="480" w:lineRule="auto"/>
        <w:ind w:firstLine="288"/>
        <w:jc w:val="both"/>
        <w:rPr>
          <w:sz w:val="24"/>
          <w:szCs w:val="24"/>
        </w:rPr>
      </w:pPr>
      <w:r w:rsidRPr="0077038F">
        <w:rPr>
          <w:rFonts w:eastAsia="Arial"/>
          <w:sz w:val="24"/>
          <w:szCs w:val="24"/>
        </w:rPr>
        <w:t>In summary, the T cell immune response occupies a central role in the pathogenesis of diabetes and is responsible for the destruction of pancreatic islet cells. The dominant cells in this infiltrate are T lymphocytes, especially activated CD8+ T lymphocytes, which are involved in the active secretion of cytokines. Still undefined pathogenic conditions modify islet cell antigens. These antigens are taken up by APCs and presented to CD8+ T lymphocytes that damage those cells that express the peptide as part of MHC class I molecules. Released β cell antigens are taken up by immature dendritic cells (iDCs) in pancreatic ducts and transported to regional lymph nodes where they present antigens to CD4+ T lymphocytes. In doing so, autoreactive CD4+ T lymphocytes activate</w:t>
      </w:r>
      <w:r w:rsidR="002854E5">
        <w:rPr>
          <w:rFonts w:eastAsia="Arial"/>
          <w:sz w:val="24"/>
          <w:szCs w:val="24"/>
        </w:rPr>
        <w:t xml:space="preserve"> and migrate</w:t>
      </w:r>
      <w:r w:rsidRPr="0077038F">
        <w:rPr>
          <w:rFonts w:eastAsia="Arial"/>
          <w:sz w:val="24"/>
          <w:szCs w:val="24"/>
        </w:rPr>
        <w:t xml:space="preserve"> to the pancreatic islets. By producing cytokines, these cells stimulate migration and activate inflammatory cells, causing insulitis (Figure 1).</w:t>
      </w:r>
    </w:p>
    <w:p w14:paraId="5D606FBD" w14:textId="221AFE4C" w:rsidR="00BA3640" w:rsidRPr="00A31829" w:rsidRDefault="00BA3640">
      <w:pPr>
        <w:spacing w:line="200" w:lineRule="exact"/>
        <w:rPr>
          <w:sz w:val="20"/>
          <w:szCs w:val="20"/>
        </w:rPr>
      </w:pPr>
    </w:p>
    <w:p w14:paraId="57AB9095" w14:textId="463B62E0" w:rsidR="00BA3640" w:rsidRPr="00A31829" w:rsidRDefault="00BA3640">
      <w:pPr>
        <w:spacing w:line="200" w:lineRule="exact"/>
        <w:rPr>
          <w:sz w:val="20"/>
          <w:szCs w:val="20"/>
        </w:rPr>
      </w:pPr>
    </w:p>
    <w:p w14:paraId="6BD685AF" w14:textId="6D9D00BF" w:rsidR="00BA3640" w:rsidRPr="00A31829" w:rsidRDefault="00BA3640">
      <w:pPr>
        <w:spacing w:line="200" w:lineRule="exact"/>
        <w:rPr>
          <w:sz w:val="20"/>
          <w:szCs w:val="20"/>
        </w:rPr>
      </w:pPr>
    </w:p>
    <w:p w14:paraId="1FD37773" w14:textId="77777777" w:rsidR="00BA3640" w:rsidRPr="00A31829" w:rsidRDefault="00BA3640">
      <w:pPr>
        <w:spacing w:line="200" w:lineRule="exact"/>
        <w:rPr>
          <w:sz w:val="20"/>
          <w:szCs w:val="20"/>
        </w:rPr>
      </w:pPr>
    </w:p>
    <w:p w14:paraId="0E9A2769" w14:textId="77777777" w:rsidR="00BA3640" w:rsidRPr="00A31829" w:rsidRDefault="00BA3640">
      <w:pPr>
        <w:spacing w:line="200" w:lineRule="exact"/>
        <w:rPr>
          <w:sz w:val="20"/>
          <w:szCs w:val="20"/>
        </w:rPr>
      </w:pPr>
    </w:p>
    <w:p w14:paraId="4AE69633" w14:textId="77777777" w:rsidR="00BA3640" w:rsidRPr="00A31829" w:rsidRDefault="00BA3640">
      <w:pPr>
        <w:spacing w:line="200" w:lineRule="exact"/>
        <w:rPr>
          <w:sz w:val="20"/>
          <w:szCs w:val="20"/>
        </w:rPr>
      </w:pPr>
    </w:p>
    <w:p w14:paraId="0B1CFF11" w14:textId="77777777" w:rsidR="00BA3640" w:rsidRPr="00A31829" w:rsidRDefault="00BA3640">
      <w:pPr>
        <w:spacing w:line="200" w:lineRule="exact"/>
        <w:rPr>
          <w:sz w:val="20"/>
          <w:szCs w:val="20"/>
        </w:rPr>
      </w:pPr>
    </w:p>
    <w:p w14:paraId="7271EF29" w14:textId="77777777" w:rsidR="00BA3640" w:rsidRPr="00A31829" w:rsidRDefault="00BA3640">
      <w:pPr>
        <w:spacing w:line="200" w:lineRule="exact"/>
        <w:rPr>
          <w:sz w:val="20"/>
          <w:szCs w:val="20"/>
        </w:rPr>
      </w:pPr>
    </w:p>
    <w:p w14:paraId="17F0FCBF" w14:textId="77777777" w:rsidR="00BA3640" w:rsidRPr="00A31829" w:rsidRDefault="00BA3640">
      <w:pPr>
        <w:spacing w:line="200" w:lineRule="exact"/>
        <w:rPr>
          <w:sz w:val="20"/>
          <w:szCs w:val="20"/>
        </w:rPr>
      </w:pPr>
    </w:p>
    <w:p w14:paraId="131CE0D0" w14:textId="77777777" w:rsidR="00BA3640" w:rsidRPr="00A31829" w:rsidRDefault="00BA3640">
      <w:pPr>
        <w:spacing w:line="200" w:lineRule="exact"/>
        <w:rPr>
          <w:sz w:val="20"/>
          <w:szCs w:val="20"/>
        </w:rPr>
      </w:pPr>
    </w:p>
    <w:p w14:paraId="55E95298" w14:textId="77777777" w:rsidR="00BA3640" w:rsidRPr="00A31829" w:rsidRDefault="00BA3640">
      <w:pPr>
        <w:spacing w:line="200" w:lineRule="exact"/>
        <w:rPr>
          <w:sz w:val="20"/>
          <w:szCs w:val="20"/>
        </w:rPr>
      </w:pPr>
    </w:p>
    <w:p w14:paraId="7312728C" w14:textId="77777777" w:rsidR="00BA3640" w:rsidRPr="00A31829" w:rsidRDefault="00BA3640">
      <w:pPr>
        <w:spacing w:line="200" w:lineRule="exact"/>
        <w:rPr>
          <w:sz w:val="20"/>
          <w:szCs w:val="20"/>
        </w:rPr>
      </w:pPr>
    </w:p>
    <w:p w14:paraId="25C16331" w14:textId="77777777" w:rsidR="00BA3640" w:rsidRPr="00A31829" w:rsidRDefault="00BA3640">
      <w:pPr>
        <w:spacing w:line="200" w:lineRule="exact"/>
        <w:rPr>
          <w:sz w:val="20"/>
          <w:szCs w:val="20"/>
        </w:rPr>
      </w:pPr>
    </w:p>
    <w:p w14:paraId="07070BDF" w14:textId="77777777" w:rsidR="00BA3640" w:rsidRPr="00A31829" w:rsidRDefault="00BA3640">
      <w:pPr>
        <w:spacing w:line="200" w:lineRule="exact"/>
        <w:rPr>
          <w:sz w:val="20"/>
          <w:szCs w:val="20"/>
        </w:rPr>
      </w:pPr>
    </w:p>
    <w:p w14:paraId="345F1EEA" w14:textId="77777777" w:rsidR="00BA3640" w:rsidRPr="00A31829" w:rsidRDefault="00BA3640">
      <w:pPr>
        <w:spacing w:line="200" w:lineRule="exact"/>
        <w:rPr>
          <w:sz w:val="20"/>
          <w:szCs w:val="20"/>
        </w:rPr>
      </w:pPr>
    </w:p>
    <w:p w14:paraId="4031B3A0" w14:textId="77777777" w:rsidR="00BA3640" w:rsidRPr="00A31829" w:rsidRDefault="00BA3640">
      <w:pPr>
        <w:spacing w:line="200" w:lineRule="exact"/>
        <w:rPr>
          <w:sz w:val="20"/>
          <w:szCs w:val="20"/>
        </w:rPr>
      </w:pPr>
    </w:p>
    <w:p w14:paraId="4DC4D8F1" w14:textId="77777777" w:rsidR="00BA3640" w:rsidRPr="00A31829" w:rsidRDefault="00BA3640">
      <w:pPr>
        <w:spacing w:line="200" w:lineRule="exact"/>
        <w:rPr>
          <w:sz w:val="20"/>
          <w:szCs w:val="20"/>
        </w:rPr>
      </w:pPr>
    </w:p>
    <w:p w14:paraId="13C36AE6" w14:textId="77777777" w:rsidR="00BA3640" w:rsidRPr="00A31829" w:rsidRDefault="00BA3640">
      <w:pPr>
        <w:spacing w:line="200" w:lineRule="exact"/>
        <w:rPr>
          <w:sz w:val="20"/>
          <w:szCs w:val="20"/>
        </w:rPr>
      </w:pPr>
    </w:p>
    <w:p w14:paraId="4AE8A8C2" w14:textId="77777777" w:rsidR="00BA3640" w:rsidRPr="00A31829" w:rsidRDefault="00BA3640">
      <w:pPr>
        <w:spacing w:line="200" w:lineRule="exact"/>
        <w:rPr>
          <w:sz w:val="20"/>
          <w:szCs w:val="20"/>
        </w:rPr>
      </w:pPr>
    </w:p>
    <w:p w14:paraId="5A9F04F3" w14:textId="77777777" w:rsidR="00BA3640" w:rsidRPr="00A31829" w:rsidRDefault="00BA3640">
      <w:pPr>
        <w:spacing w:line="200" w:lineRule="exact"/>
        <w:rPr>
          <w:sz w:val="20"/>
          <w:szCs w:val="20"/>
        </w:rPr>
      </w:pPr>
    </w:p>
    <w:p w14:paraId="218DBC64" w14:textId="77777777" w:rsidR="00BA3640" w:rsidRPr="00A31829" w:rsidRDefault="00BA3640">
      <w:pPr>
        <w:spacing w:line="200" w:lineRule="exact"/>
        <w:rPr>
          <w:sz w:val="20"/>
          <w:szCs w:val="20"/>
        </w:rPr>
      </w:pPr>
    </w:p>
    <w:p w14:paraId="55810133" w14:textId="77777777" w:rsidR="00BA3640" w:rsidRPr="00A31829" w:rsidRDefault="00BA3640">
      <w:pPr>
        <w:spacing w:line="200" w:lineRule="exact"/>
        <w:rPr>
          <w:sz w:val="20"/>
          <w:szCs w:val="20"/>
        </w:rPr>
      </w:pPr>
    </w:p>
    <w:p w14:paraId="5117D632" w14:textId="77777777" w:rsidR="00BA3640" w:rsidRPr="00A31829" w:rsidRDefault="00BA3640">
      <w:pPr>
        <w:spacing w:line="200" w:lineRule="exact"/>
        <w:rPr>
          <w:sz w:val="20"/>
          <w:szCs w:val="20"/>
        </w:rPr>
      </w:pPr>
    </w:p>
    <w:p w14:paraId="1A811FBF" w14:textId="77777777" w:rsidR="00BA3640" w:rsidRPr="00A31829" w:rsidRDefault="00BA3640">
      <w:pPr>
        <w:spacing w:line="200" w:lineRule="exact"/>
        <w:rPr>
          <w:sz w:val="20"/>
          <w:szCs w:val="20"/>
        </w:rPr>
      </w:pPr>
    </w:p>
    <w:p w14:paraId="66ABA539" w14:textId="77777777" w:rsidR="00BA3640" w:rsidRPr="00A31829" w:rsidRDefault="00BA3640">
      <w:pPr>
        <w:spacing w:line="200" w:lineRule="exact"/>
        <w:rPr>
          <w:sz w:val="20"/>
          <w:szCs w:val="20"/>
        </w:rPr>
      </w:pPr>
    </w:p>
    <w:p w14:paraId="61EE5672" w14:textId="77777777" w:rsidR="00BA3640" w:rsidRPr="00A31829" w:rsidRDefault="00BA3640">
      <w:pPr>
        <w:spacing w:line="200" w:lineRule="exact"/>
        <w:rPr>
          <w:sz w:val="20"/>
          <w:szCs w:val="20"/>
        </w:rPr>
      </w:pPr>
    </w:p>
    <w:p w14:paraId="389EBCDD" w14:textId="77777777" w:rsidR="0077038F" w:rsidRDefault="00AD5C60" w:rsidP="0077038F">
      <w:pPr>
        <w:rPr>
          <w:rFonts w:eastAsia="Arial"/>
          <w:b/>
          <w:bCs/>
          <w:i/>
          <w:iCs/>
          <w:sz w:val="24"/>
          <w:szCs w:val="24"/>
        </w:rPr>
      </w:pPr>
      <w:r w:rsidRPr="00A31829">
        <w:rPr>
          <w:rFonts w:eastAsia="Arial"/>
          <w:b/>
          <w:bCs/>
          <w:i/>
          <w:iCs/>
          <w:sz w:val="24"/>
          <w:szCs w:val="24"/>
        </w:rPr>
        <w:t>Figure 1. Immunopathogenesis of diabetes mellitus type 1</w:t>
      </w:r>
    </w:p>
    <w:p w14:paraId="34535035" w14:textId="77777777" w:rsidR="0077038F" w:rsidRDefault="0077038F" w:rsidP="0077038F">
      <w:pPr>
        <w:rPr>
          <w:rFonts w:eastAsia="Arial"/>
          <w:b/>
          <w:bCs/>
          <w:i/>
          <w:iCs/>
          <w:sz w:val="24"/>
          <w:szCs w:val="24"/>
        </w:rPr>
      </w:pPr>
    </w:p>
    <w:p w14:paraId="4D48AFC3" w14:textId="77777777" w:rsidR="0077038F" w:rsidRDefault="0077038F" w:rsidP="0077038F">
      <w:pPr>
        <w:rPr>
          <w:rFonts w:eastAsia="Arial"/>
          <w:b/>
          <w:bCs/>
          <w:i/>
          <w:iCs/>
          <w:sz w:val="24"/>
          <w:szCs w:val="24"/>
        </w:rPr>
      </w:pPr>
    </w:p>
    <w:p w14:paraId="23ACEFDD" w14:textId="77777777" w:rsidR="0077038F" w:rsidRDefault="0077038F" w:rsidP="0077038F">
      <w:pPr>
        <w:rPr>
          <w:rFonts w:eastAsia="Arial"/>
          <w:b/>
          <w:bCs/>
          <w:i/>
          <w:iCs/>
          <w:sz w:val="24"/>
          <w:szCs w:val="24"/>
        </w:rPr>
      </w:pPr>
    </w:p>
    <w:p w14:paraId="42CA2F8E" w14:textId="788BBBB4" w:rsidR="00BA3640" w:rsidRDefault="0077038F" w:rsidP="0077038F">
      <w:pPr>
        <w:rPr>
          <w:sz w:val="20"/>
          <w:szCs w:val="20"/>
        </w:rPr>
      </w:pPr>
      <w:r w:rsidRPr="0077038F">
        <w:rPr>
          <w:noProof/>
          <w:sz w:val="24"/>
          <w:szCs w:val="24"/>
        </w:rPr>
        <w:lastRenderedPageBreak/>
        <w:drawing>
          <wp:inline distT="0" distB="0" distL="0" distR="0" wp14:anchorId="54F7583C" wp14:editId="3000D75B">
            <wp:extent cx="5813425" cy="6099175"/>
            <wp:effectExtent l="0" t="0" r="0" b="0"/>
            <wp:docPr id="45058" name="Picture 1">
              <a:extLst xmlns:a="http://schemas.openxmlformats.org/drawingml/2006/main">
                <a:ext uri="{FF2B5EF4-FFF2-40B4-BE49-F238E27FC236}">
                  <a16:creationId xmlns:a16="http://schemas.microsoft.com/office/drawing/2014/main" id="{BDD24247-16B0-5207-CC60-22B7D947EC1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58" name="Picture 1">
                      <a:extLst>
                        <a:ext uri="{FF2B5EF4-FFF2-40B4-BE49-F238E27FC236}">
                          <a16:creationId xmlns:a16="http://schemas.microsoft.com/office/drawing/2014/main" id="{BDD24247-16B0-5207-CC60-22B7D947EC12}"/>
                        </a:ext>
                      </a:extLst>
                    </pic:cNvPr>
                    <pic:cNvPicPr>
                      <a:picLocks noChangeAspect="1" noChangeArrowheads="1"/>
                    </pic:cNvPicPr>
                  </pic:nvPicPr>
                  <pic:blipFill>
                    <a:blip r:embed="rId9">
                      <a:extLst>
                        <a:ext uri="{28A0092B-C50C-407E-A947-70E740481C1C}">
                          <a14:useLocalDpi xmlns:a14="http://schemas.microsoft.com/office/drawing/2010/main" val="0"/>
                        </a:ext>
                      </a:extLst>
                    </a:blip>
                    <a:srcRect b="5174"/>
                    <a:stretch>
                      <a:fillRect/>
                    </a:stretch>
                  </pic:blipFill>
                  <pic:spPr bwMode="auto">
                    <a:xfrm>
                      <a:off x="0" y="0"/>
                      <a:ext cx="5813425" cy="6099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14:paraId="4A65839D" w14:textId="77777777" w:rsidR="0077038F" w:rsidRPr="00A31829" w:rsidRDefault="0077038F" w:rsidP="0077038F">
      <w:pPr>
        <w:rPr>
          <w:sz w:val="20"/>
          <w:szCs w:val="20"/>
        </w:rPr>
      </w:pPr>
    </w:p>
    <w:p w14:paraId="016E3369" w14:textId="367385E5" w:rsidR="00BA3640" w:rsidRPr="00A31829" w:rsidRDefault="00AD5C60" w:rsidP="0077038F">
      <w:pPr>
        <w:spacing w:line="480" w:lineRule="auto"/>
        <w:ind w:firstLine="288"/>
        <w:jc w:val="both"/>
        <w:rPr>
          <w:sz w:val="24"/>
          <w:szCs w:val="24"/>
        </w:rPr>
      </w:pPr>
      <w:r w:rsidRPr="00A31829">
        <w:rPr>
          <w:rFonts w:eastAsia="Arial"/>
          <w:i/>
          <w:iCs/>
          <w:sz w:val="24"/>
          <w:szCs w:val="24"/>
        </w:rPr>
        <w:t>Genetic factors</w:t>
      </w:r>
      <w:r w:rsidR="00A31829" w:rsidRPr="00A31829">
        <w:rPr>
          <w:rFonts w:eastAsia="Arial"/>
          <w:i/>
          <w:iCs/>
          <w:sz w:val="24"/>
          <w:szCs w:val="24"/>
        </w:rPr>
        <w:t xml:space="preserve"> </w:t>
      </w:r>
      <w:r w:rsidRPr="00A31829">
        <w:rPr>
          <w:rFonts w:eastAsia="Arial"/>
          <w:sz w:val="24"/>
          <w:szCs w:val="24"/>
        </w:rPr>
        <w:t>increase the risk for development</w:t>
      </w:r>
      <w:r w:rsidR="003F28CE">
        <w:rPr>
          <w:rFonts w:eastAsia="Arial"/>
          <w:sz w:val="24"/>
          <w:szCs w:val="24"/>
        </w:rPr>
        <w:t xml:space="preserve"> of </w:t>
      </w:r>
      <w:r w:rsidRPr="00A31829">
        <w:rPr>
          <w:rFonts w:eastAsia="Arial"/>
          <w:sz w:val="24"/>
          <w:szCs w:val="24"/>
        </w:rPr>
        <w:t>IDDM type 1A. About 95% of diabetics</w:t>
      </w:r>
      <w:r w:rsidRPr="00A31829">
        <w:rPr>
          <w:rFonts w:eastAsia="Arial"/>
          <w:i/>
          <w:iCs/>
          <w:sz w:val="24"/>
          <w:szCs w:val="24"/>
        </w:rPr>
        <w:t xml:space="preserve"> </w:t>
      </w:r>
      <w:r w:rsidRPr="00A31829">
        <w:rPr>
          <w:rFonts w:eastAsia="Arial"/>
          <w:sz w:val="24"/>
          <w:szCs w:val="24"/>
        </w:rPr>
        <w:t xml:space="preserve">in Northern Europe have HLA-DR3 and HLA-DR4 and about 40% of Caucasians with IDDM type 1A are DR3/DR4 heterozygotes. These alleles are associated with HLA-DQ variant alleles. The critical factor has been suggested to be the amino acid at position 57 on the HLA-DQβ chain. Genetic variants of DQV encoding the amino acid aspartate at this position appear to protect against the development of IDDM, while those variants encoding other amino acids increase the </w:t>
      </w:r>
      <w:r w:rsidRPr="00A31829">
        <w:rPr>
          <w:rFonts w:eastAsia="Arial"/>
          <w:sz w:val="24"/>
          <w:szCs w:val="24"/>
        </w:rPr>
        <w:lastRenderedPageBreak/>
        <w:t>risk of the disease. The mechanism behind this very specific molecular bond is unknown, but the amino acid at position 57 in the HLA-DQβ chain is located in the active site (groove) of MHC class II molecules and can potentially</w:t>
      </w:r>
      <w:bookmarkStart w:id="11" w:name="page14"/>
      <w:bookmarkEnd w:id="11"/>
      <w:r w:rsidR="00A31829" w:rsidRPr="00A31829">
        <w:rPr>
          <w:sz w:val="24"/>
          <w:szCs w:val="24"/>
        </w:rPr>
        <w:t xml:space="preserve"> </w:t>
      </w:r>
      <w:r w:rsidRPr="00A31829">
        <w:rPr>
          <w:rFonts w:eastAsia="Arial"/>
          <w:sz w:val="24"/>
          <w:szCs w:val="24"/>
        </w:rPr>
        <w:t>affect the binding of a critical autopeptide. No genetic link has been identified for IDDM type 1.</w:t>
      </w:r>
    </w:p>
    <w:p w14:paraId="35FD4F21" w14:textId="3D2CD679" w:rsidR="00BA3640" w:rsidRPr="00A31829" w:rsidRDefault="00AD5C60" w:rsidP="00A31829">
      <w:pPr>
        <w:spacing w:line="480" w:lineRule="auto"/>
        <w:ind w:right="40" w:firstLine="288"/>
        <w:jc w:val="both"/>
        <w:rPr>
          <w:sz w:val="24"/>
          <w:szCs w:val="24"/>
        </w:rPr>
      </w:pPr>
      <w:r w:rsidRPr="00A31829">
        <w:rPr>
          <w:rFonts w:eastAsia="Arial"/>
          <w:i/>
          <w:iCs/>
          <w:sz w:val="24"/>
          <w:szCs w:val="24"/>
        </w:rPr>
        <w:t>Factors of the external environment</w:t>
      </w:r>
      <w:r w:rsidR="003F28CE">
        <w:rPr>
          <w:rFonts w:eastAsia="Arial"/>
          <w:i/>
          <w:iCs/>
          <w:sz w:val="24"/>
          <w:szCs w:val="24"/>
        </w:rPr>
        <w:t xml:space="preserve"> </w:t>
      </w:r>
      <w:r w:rsidRPr="00A31829">
        <w:rPr>
          <w:rFonts w:eastAsia="Arial"/>
          <w:sz w:val="24"/>
          <w:szCs w:val="24"/>
        </w:rPr>
        <w:t>play an important role in initiation</w:t>
      </w:r>
      <w:r w:rsidR="003F28CE">
        <w:rPr>
          <w:rFonts w:eastAsia="Arial"/>
          <w:sz w:val="24"/>
          <w:szCs w:val="24"/>
        </w:rPr>
        <w:t xml:space="preserve"> of the </w:t>
      </w:r>
      <w:r w:rsidRPr="00A31829">
        <w:rPr>
          <w:rFonts w:eastAsia="Arial"/>
          <w:sz w:val="24"/>
          <w:szCs w:val="24"/>
        </w:rPr>
        <w:t>NIDDM but</w:t>
      </w:r>
      <w:r w:rsidRPr="00A31829">
        <w:rPr>
          <w:rFonts w:eastAsia="Arial"/>
          <w:i/>
          <w:iCs/>
          <w:sz w:val="24"/>
          <w:szCs w:val="24"/>
        </w:rPr>
        <w:t xml:space="preserve"> </w:t>
      </w:r>
      <w:r w:rsidRPr="00A31829">
        <w:rPr>
          <w:rFonts w:eastAsia="Arial"/>
          <w:sz w:val="24"/>
          <w:szCs w:val="24"/>
        </w:rPr>
        <w:t>not IDDM. In a small number of cases, diabetes may be associated with specific infections, especially those viruses (mumps and coxsackie) known to show a tropism for the pancreas. However, the infection that is unequivocally related to type 1 diabetes is congenital rubella, which is very rare today. Most newly diagnosed cases of diabetes are not linked to any specific infection.</w:t>
      </w:r>
    </w:p>
    <w:p w14:paraId="51D16F2B" w14:textId="77777777" w:rsidR="00BA3640" w:rsidRPr="00A31829" w:rsidRDefault="00AD5C60" w:rsidP="00A31829">
      <w:pPr>
        <w:spacing w:line="480" w:lineRule="auto"/>
        <w:jc w:val="both"/>
        <w:rPr>
          <w:b/>
          <w:bCs/>
          <w:sz w:val="24"/>
          <w:szCs w:val="24"/>
        </w:rPr>
      </w:pPr>
      <w:r w:rsidRPr="00A31829">
        <w:rPr>
          <w:rFonts w:eastAsia="Arial"/>
          <w:b/>
          <w:bCs/>
          <w:sz w:val="24"/>
          <w:szCs w:val="24"/>
        </w:rPr>
        <w:t>1.3. Therapy of diabetes mellitus type 1</w:t>
      </w:r>
    </w:p>
    <w:p w14:paraId="719451BA" w14:textId="4DCFABD5" w:rsidR="00BA3640" w:rsidRPr="00A31829" w:rsidRDefault="00AD5C60" w:rsidP="00A31829">
      <w:pPr>
        <w:spacing w:line="480" w:lineRule="auto"/>
        <w:ind w:right="120" w:firstLine="288"/>
        <w:jc w:val="both"/>
        <w:rPr>
          <w:sz w:val="24"/>
          <w:szCs w:val="24"/>
        </w:rPr>
      </w:pPr>
      <w:r w:rsidRPr="00A31829">
        <w:rPr>
          <w:rFonts w:eastAsia="Arial"/>
          <w:sz w:val="24"/>
          <w:szCs w:val="24"/>
        </w:rPr>
        <w:t>Treatment of type 1 diabetes is based on insulin replacement therapy. Attempts to halt β-cell destruction involve intensive immunosuppressive therapy (eg, cyclosporine and monoclonal antibodies) initiated after diagnosis, when probably less than 10% of β-cells are preserved. In these cases, induction of diabetes remission is limited.</w:t>
      </w:r>
    </w:p>
    <w:p w14:paraId="26CE34B6" w14:textId="32FFF168" w:rsidR="00BA3640" w:rsidRPr="00A31829" w:rsidRDefault="00AD5C60" w:rsidP="00A31829">
      <w:pPr>
        <w:spacing w:line="480" w:lineRule="auto"/>
        <w:jc w:val="both"/>
        <w:rPr>
          <w:b/>
          <w:bCs/>
          <w:sz w:val="24"/>
          <w:szCs w:val="24"/>
        </w:rPr>
      </w:pPr>
      <w:r w:rsidRPr="00A31829">
        <w:rPr>
          <w:rFonts w:eastAsia="Arial"/>
          <w:b/>
          <w:bCs/>
          <w:sz w:val="24"/>
          <w:szCs w:val="24"/>
        </w:rPr>
        <w:t>Insulin</w:t>
      </w:r>
    </w:p>
    <w:p w14:paraId="283E5066" w14:textId="000ED39F" w:rsidR="00BA3640" w:rsidRPr="00A31829" w:rsidRDefault="00AD5C60" w:rsidP="00A31829">
      <w:pPr>
        <w:spacing w:line="480" w:lineRule="auto"/>
        <w:ind w:right="120"/>
        <w:jc w:val="both"/>
        <w:rPr>
          <w:sz w:val="24"/>
          <w:szCs w:val="24"/>
        </w:rPr>
      </w:pPr>
      <w:r w:rsidRPr="00A31829">
        <w:rPr>
          <w:rFonts w:eastAsia="Arial"/>
          <w:sz w:val="24"/>
          <w:szCs w:val="24"/>
        </w:rPr>
        <w:t>Insulin modifications: Rapid-acting insulin has been modified to disrupt the natural ability of insulin to form a hexamer, causing it to be rapidly absorbed after subcutaneous administration. They are not associated with increased production of anti-insulin antibodies. Resistance to applied insulin is rarely present. Occasionally, hypersensitivity reactions occur at the site of insulin application:</w:t>
      </w:r>
    </w:p>
    <w:p w14:paraId="6B846BF5" w14:textId="53D92E3D" w:rsidR="00BA3640" w:rsidRPr="00A31829" w:rsidRDefault="00AD5C60" w:rsidP="00A31829">
      <w:pPr>
        <w:spacing w:line="480" w:lineRule="auto"/>
        <w:jc w:val="both"/>
        <w:rPr>
          <w:b/>
          <w:bCs/>
          <w:sz w:val="24"/>
          <w:szCs w:val="24"/>
        </w:rPr>
      </w:pPr>
      <w:r w:rsidRPr="00A31829">
        <w:rPr>
          <w:rFonts w:eastAsia="Arial"/>
          <w:b/>
          <w:bCs/>
          <w:sz w:val="24"/>
          <w:szCs w:val="24"/>
        </w:rPr>
        <w:t>Immune suppression and corticosteroids</w:t>
      </w:r>
    </w:p>
    <w:p w14:paraId="522E78FC" w14:textId="77777777" w:rsidR="00BA3640" w:rsidRPr="00A31829" w:rsidRDefault="00AD5C60" w:rsidP="00A31829">
      <w:pPr>
        <w:spacing w:line="480" w:lineRule="auto"/>
        <w:ind w:right="40"/>
        <w:jc w:val="both"/>
        <w:rPr>
          <w:sz w:val="24"/>
          <w:szCs w:val="24"/>
        </w:rPr>
      </w:pPr>
      <w:r w:rsidRPr="00A31829">
        <w:rPr>
          <w:rFonts w:eastAsia="Arial"/>
          <w:sz w:val="24"/>
          <w:szCs w:val="24"/>
        </w:rPr>
        <w:t xml:space="preserve">Cyclosporine A inhibits the synthesis of IL-2. It is continuously prescribed for at least 6-12 months. The best results are achieved if the application is started within the first 6 weeks after the </w:t>
      </w:r>
      <w:r w:rsidRPr="00A31829">
        <w:rPr>
          <w:rFonts w:eastAsia="Arial"/>
          <w:sz w:val="24"/>
          <w:szCs w:val="24"/>
        </w:rPr>
        <w:lastRenderedPageBreak/>
        <w:t>diagnosis of the disease. The drug is nephrotoxic. Azathioprine inhibits the proliferation of T and V lymphocytes and NK cells.</w:t>
      </w:r>
    </w:p>
    <w:p w14:paraId="0822CD73" w14:textId="77777777" w:rsidR="00BA3640" w:rsidRPr="00A31829" w:rsidRDefault="00AD5C60" w:rsidP="00A31829">
      <w:pPr>
        <w:spacing w:line="480" w:lineRule="auto"/>
        <w:jc w:val="both"/>
        <w:rPr>
          <w:b/>
          <w:bCs/>
          <w:sz w:val="24"/>
          <w:szCs w:val="24"/>
        </w:rPr>
      </w:pPr>
      <w:bookmarkStart w:id="12" w:name="page15"/>
      <w:bookmarkEnd w:id="12"/>
      <w:r w:rsidRPr="00A31829">
        <w:rPr>
          <w:rFonts w:eastAsia="Arial"/>
          <w:b/>
          <w:bCs/>
          <w:sz w:val="24"/>
          <w:szCs w:val="24"/>
        </w:rPr>
        <w:t>New therapeutic approaches</w:t>
      </w:r>
    </w:p>
    <w:p w14:paraId="3151F647" w14:textId="77777777" w:rsidR="002854E5" w:rsidRDefault="00AD5C60" w:rsidP="00A31829">
      <w:pPr>
        <w:spacing w:line="480" w:lineRule="auto"/>
        <w:jc w:val="both"/>
        <w:rPr>
          <w:rFonts w:eastAsia="Arial"/>
          <w:sz w:val="24"/>
          <w:szCs w:val="24"/>
        </w:rPr>
      </w:pPr>
      <w:r w:rsidRPr="00A31829">
        <w:rPr>
          <w:rFonts w:eastAsia="Arial"/>
          <w:sz w:val="24"/>
          <w:szCs w:val="24"/>
        </w:rPr>
        <w:t xml:space="preserve">Modified anti-CD3 antibodies (TRX4, otelixizumab, teplizumab) block the proliferation and differentiation of T lymphocytes and stimulate the formation of Tregs. Two dosage cycles at 6-12 months. </w:t>
      </w:r>
    </w:p>
    <w:p w14:paraId="3190516D" w14:textId="77777777" w:rsidR="002854E5" w:rsidRDefault="00AD5C60" w:rsidP="00A31829">
      <w:pPr>
        <w:spacing w:line="480" w:lineRule="auto"/>
        <w:jc w:val="both"/>
        <w:rPr>
          <w:rFonts w:eastAsia="Arial"/>
          <w:sz w:val="24"/>
          <w:szCs w:val="24"/>
        </w:rPr>
      </w:pPr>
      <w:r w:rsidRPr="00A31829">
        <w:rPr>
          <w:rFonts w:eastAsia="Arial"/>
          <w:sz w:val="24"/>
          <w:szCs w:val="24"/>
        </w:rPr>
        <w:t>Anti-CD20 antibodies (rituximab)</w:t>
      </w:r>
      <w:r w:rsidR="002854E5">
        <w:rPr>
          <w:rFonts w:eastAsia="Arial"/>
          <w:sz w:val="24"/>
          <w:szCs w:val="24"/>
        </w:rPr>
        <w:t>-</w:t>
      </w:r>
      <w:r w:rsidRPr="00A31829">
        <w:rPr>
          <w:rFonts w:eastAsia="Arial"/>
          <w:sz w:val="24"/>
          <w:szCs w:val="24"/>
        </w:rPr>
        <w:t xml:space="preserve">It inhibits the presentation of autoantigens to T lymphocytes. The therapy lasts 4 weeks. </w:t>
      </w:r>
    </w:p>
    <w:p w14:paraId="2D9D9412" w14:textId="77777777" w:rsidR="002854E5" w:rsidRDefault="00AD5C60" w:rsidP="00A31829">
      <w:pPr>
        <w:spacing w:line="480" w:lineRule="auto"/>
        <w:jc w:val="both"/>
        <w:rPr>
          <w:rFonts w:eastAsia="Arial"/>
          <w:sz w:val="24"/>
          <w:szCs w:val="24"/>
        </w:rPr>
      </w:pPr>
      <w:r w:rsidRPr="00A31829">
        <w:rPr>
          <w:rFonts w:eastAsia="Arial"/>
          <w:sz w:val="24"/>
          <w:szCs w:val="24"/>
        </w:rPr>
        <w:t>Anti-CTLA-4 antibodies (abatacept)</w:t>
      </w:r>
      <w:r w:rsidR="002854E5">
        <w:rPr>
          <w:rFonts w:eastAsia="Arial"/>
          <w:sz w:val="24"/>
          <w:szCs w:val="24"/>
        </w:rPr>
        <w:t>-</w:t>
      </w:r>
      <w:r w:rsidRPr="00A31829">
        <w:rPr>
          <w:rFonts w:eastAsia="Arial"/>
          <w:sz w:val="24"/>
          <w:szCs w:val="24"/>
        </w:rPr>
        <w:t xml:space="preserve">Monthly infusion over a period of 2 years. </w:t>
      </w:r>
    </w:p>
    <w:p w14:paraId="70A8D9ED" w14:textId="0890947F" w:rsidR="00BA3640" w:rsidRPr="00A31829" w:rsidRDefault="002854E5" w:rsidP="00A31829">
      <w:pPr>
        <w:spacing w:line="480" w:lineRule="auto"/>
        <w:jc w:val="both"/>
        <w:rPr>
          <w:sz w:val="24"/>
          <w:szCs w:val="24"/>
        </w:rPr>
      </w:pPr>
      <w:r>
        <w:rPr>
          <w:rFonts w:eastAsia="Arial"/>
          <w:sz w:val="24"/>
          <w:szCs w:val="24"/>
        </w:rPr>
        <w:t>A</w:t>
      </w:r>
      <w:r w:rsidR="00AD5C60" w:rsidRPr="00A31829">
        <w:rPr>
          <w:rFonts w:eastAsia="Arial"/>
          <w:sz w:val="24"/>
          <w:szCs w:val="24"/>
        </w:rPr>
        <w:t>nti-thymocyte antibodies (Thymoglobulin, Atgam)</w:t>
      </w:r>
      <w:r>
        <w:rPr>
          <w:rFonts w:eastAsia="Arial"/>
          <w:sz w:val="24"/>
          <w:szCs w:val="24"/>
        </w:rPr>
        <w:t>-</w:t>
      </w:r>
      <w:r w:rsidR="00AD5C60" w:rsidRPr="002854E5">
        <w:rPr>
          <w:rFonts w:eastAsia="Arial"/>
          <w:sz w:val="24"/>
          <w:szCs w:val="24"/>
        </w:rPr>
        <w:t>It reduces</w:t>
      </w:r>
      <w:r w:rsidR="00AD5C60" w:rsidRPr="00A31829">
        <w:rPr>
          <w:rFonts w:eastAsia="Arial"/>
          <w:sz w:val="24"/>
          <w:szCs w:val="24"/>
        </w:rPr>
        <w:t xml:space="preserve"> the number of T lymphocytes. TNF-R IgG fusion protein (etanercept), IL-1 receptor antagonist (IL-1ra) (anakinra)</w:t>
      </w:r>
    </w:p>
    <w:sectPr w:rsidR="00BA3640" w:rsidRPr="00A31829">
      <w:pgSz w:w="12240" w:h="15840"/>
      <w:pgMar w:top="1440" w:right="1420" w:bottom="1440" w:left="1440" w:header="0" w:footer="0" w:gutter="0"/>
      <w:cols w:space="720" w:equalWidth="0">
        <w:col w:w="938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3C9869"/>
    <w:multiLevelType w:val="hybridMultilevel"/>
    <w:tmpl w:val="1750A958"/>
    <w:lvl w:ilvl="0" w:tplc="4250624E">
      <w:start w:val="1"/>
      <w:numFmt w:val="bullet"/>
      <w:lvlText w:val="•"/>
      <w:lvlJc w:val="left"/>
    </w:lvl>
    <w:lvl w:ilvl="1" w:tplc="B448D584">
      <w:numFmt w:val="decimal"/>
      <w:lvlText w:val=""/>
      <w:lvlJc w:val="left"/>
    </w:lvl>
    <w:lvl w:ilvl="2" w:tplc="BDCCF5BA">
      <w:numFmt w:val="decimal"/>
      <w:lvlText w:val=""/>
      <w:lvlJc w:val="left"/>
    </w:lvl>
    <w:lvl w:ilvl="3" w:tplc="6BF2AE52">
      <w:numFmt w:val="decimal"/>
      <w:lvlText w:val=""/>
      <w:lvlJc w:val="left"/>
    </w:lvl>
    <w:lvl w:ilvl="4" w:tplc="F58EF4A6">
      <w:numFmt w:val="decimal"/>
      <w:lvlText w:val=""/>
      <w:lvlJc w:val="left"/>
    </w:lvl>
    <w:lvl w:ilvl="5" w:tplc="4FE0AFFA">
      <w:numFmt w:val="decimal"/>
      <w:lvlText w:val=""/>
      <w:lvlJc w:val="left"/>
    </w:lvl>
    <w:lvl w:ilvl="6" w:tplc="ACA48324">
      <w:numFmt w:val="decimal"/>
      <w:lvlText w:val=""/>
      <w:lvlJc w:val="left"/>
    </w:lvl>
    <w:lvl w:ilvl="7" w:tplc="8ABCE1A6">
      <w:numFmt w:val="decimal"/>
      <w:lvlText w:val=""/>
      <w:lvlJc w:val="left"/>
    </w:lvl>
    <w:lvl w:ilvl="8" w:tplc="1ED63C1A">
      <w:numFmt w:val="decimal"/>
      <w:lvlText w:val=""/>
      <w:lvlJc w:val="left"/>
    </w:lvl>
  </w:abstractNum>
  <w:abstractNum w:abstractNumId="1" w15:restartNumberingAfterBreak="0">
    <w:nsid w:val="66334873"/>
    <w:multiLevelType w:val="hybridMultilevel"/>
    <w:tmpl w:val="A254F46A"/>
    <w:lvl w:ilvl="0" w:tplc="3DF69BB8">
      <w:start w:val="1"/>
      <w:numFmt w:val="bullet"/>
      <w:lvlText w:val="•"/>
      <w:lvlJc w:val="left"/>
    </w:lvl>
    <w:lvl w:ilvl="1" w:tplc="54A6BA0A">
      <w:numFmt w:val="decimal"/>
      <w:lvlText w:val=""/>
      <w:lvlJc w:val="left"/>
    </w:lvl>
    <w:lvl w:ilvl="2" w:tplc="97B6CAF4">
      <w:numFmt w:val="decimal"/>
      <w:lvlText w:val=""/>
      <w:lvlJc w:val="left"/>
    </w:lvl>
    <w:lvl w:ilvl="3" w:tplc="6B80A0EA">
      <w:numFmt w:val="decimal"/>
      <w:lvlText w:val=""/>
      <w:lvlJc w:val="left"/>
    </w:lvl>
    <w:lvl w:ilvl="4" w:tplc="DAD83770">
      <w:numFmt w:val="decimal"/>
      <w:lvlText w:val=""/>
      <w:lvlJc w:val="left"/>
    </w:lvl>
    <w:lvl w:ilvl="5" w:tplc="244E3052">
      <w:numFmt w:val="decimal"/>
      <w:lvlText w:val=""/>
      <w:lvlJc w:val="left"/>
    </w:lvl>
    <w:lvl w:ilvl="6" w:tplc="18E08928">
      <w:numFmt w:val="decimal"/>
      <w:lvlText w:val=""/>
      <w:lvlJc w:val="left"/>
    </w:lvl>
    <w:lvl w:ilvl="7" w:tplc="25A4603E">
      <w:numFmt w:val="decimal"/>
      <w:lvlText w:val=""/>
      <w:lvlJc w:val="left"/>
    </w:lvl>
    <w:lvl w:ilvl="8" w:tplc="991AF432">
      <w:numFmt w:val="decimal"/>
      <w:lvlText w:val=""/>
      <w:lvlJc w:val="left"/>
    </w:lvl>
  </w:abstractNum>
  <w:abstractNum w:abstractNumId="2" w15:restartNumberingAfterBreak="0">
    <w:nsid w:val="6C887944"/>
    <w:multiLevelType w:val="multilevel"/>
    <w:tmpl w:val="03D43DB0"/>
    <w:lvl w:ilvl="0">
      <w:start w:val="1"/>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num w:numId="1" w16cid:durableId="353196660">
    <w:abstractNumId w:val="0"/>
  </w:num>
  <w:num w:numId="2" w16cid:durableId="915434399">
    <w:abstractNumId w:val="1"/>
  </w:num>
  <w:num w:numId="3" w16cid:durableId="16709790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3640"/>
    <w:rsid w:val="00224811"/>
    <w:rsid w:val="002854E5"/>
    <w:rsid w:val="003F28CE"/>
    <w:rsid w:val="0057412E"/>
    <w:rsid w:val="006B5A90"/>
    <w:rsid w:val="0077038F"/>
    <w:rsid w:val="00913B9E"/>
    <w:rsid w:val="00A31829"/>
    <w:rsid w:val="00A96524"/>
    <w:rsid w:val="00AC2E9B"/>
    <w:rsid w:val="00AD5C60"/>
    <w:rsid w:val="00BA3640"/>
    <w:rsid w:val="00F65B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286E58"/>
  <w15:docId w15:val="{392BE3AA-B650-4166-A3BC-ADFD1F3C0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18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3970</Words>
  <Characters>22630</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ivanjovanovic77@gmail.com</cp:lastModifiedBy>
  <cp:revision>2</cp:revision>
  <dcterms:created xsi:type="dcterms:W3CDTF">2023-12-17T08:26:00Z</dcterms:created>
  <dcterms:modified xsi:type="dcterms:W3CDTF">2023-12-17T08:26:00Z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8ac72019617b657369ba1944d54b1b20fb9ae71848cac3481787732b0d9db8e6</vt:lpwstr>
  </property>
</Properties>
</file>